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64A8" w14:textId="77777777" w:rsidR="00656C9D" w:rsidRPr="00F94F2C" w:rsidRDefault="00656C9D" w:rsidP="000A4E41">
      <w:pPr>
        <w:tabs>
          <w:tab w:val="left" w:pos="9026"/>
        </w:tabs>
        <w:spacing w:before="2"/>
        <w:ind w:right="-46"/>
        <w:rPr>
          <w:rFonts w:ascii="Arial" w:hAnsi="Arial" w:cs="Arial"/>
          <w:b/>
        </w:rPr>
      </w:pPr>
      <w:bookmarkStart w:id="0" w:name="_top"/>
      <w:bookmarkEnd w:id="0"/>
    </w:p>
    <w:p w14:paraId="688B65F5" w14:textId="77777777" w:rsidR="00DA2F4F" w:rsidRPr="00F94F2C" w:rsidRDefault="00DA2F4F" w:rsidP="000A4E41">
      <w:pPr>
        <w:tabs>
          <w:tab w:val="left" w:pos="9026"/>
        </w:tabs>
        <w:spacing w:before="2"/>
        <w:ind w:right="-46"/>
        <w:rPr>
          <w:rFonts w:ascii="Arial" w:hAnsi="Arial" w:cs="Arial"/>
          <w:b/>
        </w:rPr>
      </w:pPr>
    </w:p>
    <w:p w14:paraId="46D35B8B" w14:textId="77777777" w:rsidR="00F94F2C" w:rsidRPr="00F94F2C" w:rsidRDefault="009A0A01" w:rsidP="000A4E41">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70E8B2AC" wp14:editId="2A1B5DC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E811E4"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56BC0C8" w14:textId="77777777" w:rsidR="00656C9D" w:rsidRPr="00F94F2C" w:rsidRDefault="00656C9D" w:rsidP="000A4E41">
      <w:pPr>
        <w:tabs>
          <w:tab w:val="left" w:pos="9026"/>
        </w:tabs>
        <w:spacing w:before="2"/>
        <w:ind w:right="-46"/>
        <w:rPr>
          <w:rFonts w:ascii="Arial" w:hAnsi="Arial" w:cs="Arial"/>
          <w:b/>
        </w:rPr>
      </w:pPr>
    </w:p>
    <w:p w14:paraId="01CF97F8" w14:textId="77777777" w:rsidR="00656C9D" w:rsidRPr="00F94F2C" w:rsidRDefault="00A13C31" w:rsidP="000A4E41">
      <w:pPr>
        <w:tabs>
          <w:tab w:val="left" w:pos="9026"/>
        </w:tabs>
        <w:spacing w:before="2"/>
        <w:ind w:right="-46"/>
        <w:rPr>
          <w:rFonts w:ascii="Arial" w:hAnsi="Arial" w:cs="Arial"/>
        </w:rPr>
      </w:pPr>
      <w:r>
        <w:rPr>
          <w:rFonts w:ascii="Arial" w:hAnsi="Arial" w:cs="Arial"/>
        </w:rPr>
        <w:t xml:space="preserve">Local Planning Policy </w:t>
      </w:r>
    </w:p>
    <w:p w14:paraId="1405BA5F" w14:textId="77777777" w:rsidR="00151611" w:rsidRPr="00F94F2C" w:rsidRDefault="00151611" w:rsidP="000A4E41">
      <w:pPr>
        <w:tabs>
          <w:tab w:val="left" w:pos="9026"/>
        </w:tabs>
        <w:spacing w:before="2"/>
        <w:ind w:right="-46"/>
        <w:rPr>
          <w:rFonts w:ascii="Arial" w:hAnsi="Arial" w:cs="Arial"/>
        </w:rPr>
      </w:pPr>
    </w:p>
    <w:p w14:paraId="3ACB879C" w14:textId="77777777" w:rsidR="00151611" w:rsidRPr="00F94F2C" w:rsidRDefault="00151611" w:rsidP="000A4E41">
      <w:pPr>
        <w:tabs>
          <w:tab w:val="left" w:pos="9026"/>
        </w:tabs>
        <w:spacing w:before="2"/>
        <w:ind w:right="-46"/>
        <w:rPr>
          <w:rFonts w:ascii="Arial" w:hAnsi="Arial" w:cs="Arial"/>
        </w:rPr>
      </w:pPr>
    </w:p>
    <w:p w14:paraId="2D1E45E3" w14:textId="77777777" w:rsidR="00656C9D" w:rsidRPr="00F94F2C" w:rsidRDefault="00177302" w:rsidP="000A4E41">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D6BE39D" w14:textId="77777777" w:rsidR="00656C9D" w:rsidRPr="00F94F2C" w:rsidRDefault="009A0A01" w:rsidP="000A4E41">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6EA8245" wp14:editId="1D949A7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76F75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F07E92F" w14:textId="77777777" w:rsidR="00A13C31" w:rsidRPr="00A13C31" w:rsidRDefault="00A13C31" w:rsidP="000A4E41">
      <w:pPr>
        <w:rPr>
          <w:rFonts w:ascii="Arial" w:hAnsi="Arial" w:cs="Arial"/>
        </w:rPr>
      </w:pPr>
      <w:r w:rsidRPr="00A13C31">
        <w:rPr>
          <w:rFonts w:ascii="Arial" w:hAnsi="Arial" w:cs="Arial"/>
        </w:rPr>
        <w:t xml:space="preserve">Uniform fencing is generally required where development of land abuts the public domain including roads and public open space. Uniform fencing is specified as a condition of subdivision and/or development approval.  It is imperative that any uniform fencing installed is visually appealing, constructed of durable materials and provides adequate passive surveillance (where required).  </w:t>
      </w:r>
    </w:p>
    <w:p w14:paraId="5D898052" w14:textId="77777777" w:rsidR="00547831" w:rsidRDefault="00547831" w:rsidP="000A4E41">
      <w:pPr>
        <w:rPr>
          <w:rFonts w:ascii="Arial" w:hAnsi="Arial" w:cs="Arial"/>
        </w:rPr>
      </w:pPr>
    </w:p>
    <w:p w14:paraId="7F0CB83B" w14:textId="77777777" w:rsidR="00A13C31" w:rsidRPr="00A13C31" w:rsidRDefault="00A13C31" w:rsidP="000A4E41">
      <w:pPr>
        <w:rPr>
          <w:rFonts w:ascii="Arial" w:hAnsi="Arial" w:cs="Arial"/>
        </w:rPr>
      </w:pPr>
      <w:r w:rsidRPr="00A13C31">
        <w:rPr>
          <w:rFonts w:ascii="Arial" w:hAnsi="Arial" w:cs="Arial"/>
        </w:rPr>
        <w:t>The purpose</w:t>
      </w:r>
      <w:r w:rsidR="00547831">
        <w:rPr>
          <w:rFonts w:ascii="Arial" w:hAnsi="Arial" w:cs="Arial"/>
        </w:rPr>
        <w:t xml:space="preserve"> of this policy</w:t>
      </w:r>
      <w:r w:rsidRPr="00A13C31">
        <w:rPr>
          <w:rFonts w:ascii="Arial" w:hAnsi="Arial" w:cs="Arial"/>
        </w:rPr>
        <w:t xml:space="preserve"> is to provide guidance for the installation of uniform fencing. </w:t>
      </w:r>
    </w:p>
    <w:p w14:paraId="2604A599" w14:textId="77777777" w:rsidR="001D08BD" w:rsidRPr="00F94F2C" w:rsidRDefault="001D08BD" w:rsidP="000A4E41">
      <w:pPr>
        <w:tabs>
          <w:tab w:val="left" w:pos="9026"/>
        </w:tabs>
        <w:spacing w:before="2"/>
        <w:ind w:right="-46"/>
        <w:rPr>
          <w:rFonts w:ascii="Arial" w:hAnsi="Arial" w:cs="Arial"/>
        </w:rPr>
      </w:pPr>
    </w:p>
    <w:p w14:paraId="1B51A34B" w14:textId="77777777" w:rsidR="00151611" w:rsidRPr="00F94F2C" w:rsidRDefault="00151611" w:rsidP="000A4E41">
      <w:pPr>
        <w:tabs>
          <w:tab w:val="left" w:pos="9026"/>
        </w:tabs>
        <w:spacing w:before="2"/>
        <w:ind w:right="-46"/>
        <w:rPr>
          <w:rFonts w:ascii="Arial" w:hAnsi="Arial" w:cs="Arial"/>
        </w:rPr>
      </w:pPr>
    </w:p>
    <w:p w14:paraId="25F23D61" w14:textId="77777777" w:rsidR="00656C9D" w:rsidRPr="00F94F2C" w:rsidRDefault="00177302" w:rsidP="000A4E41">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9297081" w14:textId="77777777" w:rsidR="00656C9D" w:rsidRPr="00F94F2C" w:rsidRDefault="009A0A01" w:rsidP="000A4E41">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8F765FB" wp14:editId="76102D5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99CCF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25CDDC88" w14:textId="77777777" w:rsidR="00A13C31" w:rsidRPr="00A13C31" w:rsidRDefault="00A13C31" w:rsidP="000A4E41">
      <w:pPr>
        <w:rPr>
          <w:rFonts w:ascii="Arial" w:hAnsi="Arial" w:cs="Arial"/>
          <w:u w:val="single"/>
        </w:rPr>
      </w:pPr>
      <w:r w:rsidRPr="00A13C31">
        <w:rPr>
          <w:rFonts w:ascii="Arial" w:hAnsi="Arial" w:cs="Arial"/>
        </w:rPr>
        <w:t>(1)</w:t>
      </w:r>
      <w:r w:rsidRPr="00A13C31">
        <w:rPr>
          <w:rFonts w:ascii="Arial" w:hAnsi="Arial" w:cs="Arial"/>
        </w:rPr>
        <w:tab/>
      </w:r>
      <w:r w:rsidRPr="00BC04CD">
        <w:rPr>
          <w:rFonts w:ascii="Arial" w:hAnsi="Arial" w:cs="Arial"/>
        </w:rPr>
        <w:t>Scope</w:t>
      </w:r>
    </w:p>
    <w:p w14:paraId="659214D0" w14:textId="77777777" w:rsidR="00A13C31" w:rsidRPr="00A13C31" w:rsidRDefault="00A13C31" w:rsidP="000A4E41">
      <w:pPr>
        <w:rPr>
          <w:rFonts w:ascii="Arial" w:hAnsi="Arial" w:cs="Arial"/>
        </w:rPr>
      </w:pPr>
    </w:p>
    <w:p w14:paraId="30354D60" w14:textId="77777777" w:rsidR="00A13C31" w:rsidRPr="00A13C31" w:rsidRDefault="00A13C31" w:rsidP="000A4E41">
      <w:pPr>
        <w:numPr>
          <w:ilvl w:val="0"/>
          <w:numId w:val="12"/>
        </w:numPr>
        <w:rPr>
          <w:rFonts w:ascii="Arial" w:hAnsi="Arial" w:cs="Arial"/>
        </w:rPr>
      </w:pPr>
      <w:r w:rsidRPr="00A13C31">
        <w:rPr>
          <w:rFonts w:ascii="Arial" w:hAnsi="Arial" w:cs="Arial"/>
        </w:rPr>
        <w:t>This policy applies to all uniform fencing constructed within the City of Cockburn.</w:t>
      </w:r>
    </w:p>
    <w:p w14:paraId="07E61F3D" w14:textId="77777777" w:rsidR="00A13C31" w:rsidRPr="00A13C31" w:rsidRDefault="00A13C31" w:rsidP="000A4E41">
      <w:pPr>
        <w:ind w:left="1080"/>
        <w:rPr>
          <w:rFonts w:ascii="Arial" w:hAnsi="Arial" w:cs="Arial"/>
        </w:rPr>
      </w:pPr>
    </w:p>
    <w:p w14:paraId="224925F4" w14:textId="77777777" w:rsidR="00A13C31" w:rsidRPr="00A13C31" w:rsidRDefault="00A13C31" w:rsidP="000A4E41">
      <w:pPr>
        <w:numPr>
          <w:ilvl w:val="0"/>
          <w:numId w:val="12"/>
        </w:numPr>
        <w:rPr>
          <w:rFonts w:ascii="Arial" w:hAnsi="Arial" w:cs="Arial"/>
        </w:rPr>
      </w:pPr>
      <w:r w:rsidRPr="00A13C31">
        <w:rPr>
          <w:rFonts w:ascii="Arial" w:hAnsi="Arial" w:cs="Arial"/>
        </w:rPr>
        <w:t xml:space="preserve">Uniform fencing is required to be provided by developers and landowners where land abuts public open space, drainage sites, pedestrian access ways, regional roads, other roads of district importance or any other public place.  </w:t>
      </w:r>
    </w:p>
    <w:p w14:paraId="6B41BD5B" w14:textId="77777777" w:rsidR="00A13C31" w:rsidRPr="00A13C31" w:rsidRDefault="00A13C31" w:rsidP="000A4E41">
      <w:pPr>
        <w:rPr>
          <w:rFonts w:ascii="Arial" w:hAnsi="Arial" w:cs="Arial"/>
        </w:rPr>
      </w:pPr>
    </w:p>
    <w:p w14:paraId="540A4358" w14:textId="77777777" w:rsidR="00A13C31" w:rsidRPr="00A13C31" w:rsidRDefault="00A13C31" w:rsidP="000A4E41">
      <w:pPr>
        <w:numPr>
          <w:ilvl w:val="0"/>
          <w:numId w:val="12"/>
        </w:numPr>
        <w:rPr>
          <w:rFonts w:ascii="Arial" w:hAnsi="Arial" w:cs="Arial"/>
        </w:rPr>
      </w:pPr>
      <w:r w:rsidRPr="00A13C31">
        <w:rPr>
          <w:rFonts w:ascii="Arial" w:hAnsi="Arial" w:cs="Arial"/>
        </w:rPr>
        <w:t xml:space="preserve">The requirement for the construction of uniform fencing shall be triggered through the development and/or subdivision of land. </w:t>
      </w:r>
    </w:p>
    <w:p w14:paraId="28C66767" w14:textId="77777777" w:rsidR="00A13C31" w:rsidRPr="00A13C31" w:rsidRDefault="00A13C31" w:rsidP="000A4E41">
      <w:pPr>
        <w:rPr>
          <w:rFonts w:ascii="Arial" w:hAnsi="Arial" w:cs="Arial"/>
        </w:rPr>
      </w:pPr>
    </w:p>
    <w:p w14:paraId="5E79AB7D" w14:textId="77777777" w:rsidR="00A13C31" w:rsidRPr="00A13C31" w:rsidRDefault="00A13C31" w:rsidP="000A4E41">
      <w:pPr>
        <w:numPr>
          <w:ilvl w:val="0"/>
          <w:numId w:val="12"/>
        </w:numPr>
        <w:rPr>
          <w:rFonts w:ascii="Arial" w:hAnsi="Arial" w:cs="Arial"/>
        </w:rPr>
      </w:pPr>
      <w:r w:rsidRPr="00A13C31">
        <w:rPr>
          <w:rFonts w:ascii="Arial" w:hAnsi="Arial" w:cs="Arial"/>
        </w:rPr>
        <w:t xml:space="preserve">The City shall impose a condition on planning approvals (where applicable) requiring the applicant/owner to construct uniform fencing in accordance with this policy. </w:t>
      </w:r>
    </w:p>
    <w:p w14:paraId="7CB4C8C7" w14:textId="77777777" w:rsidR="00A13C31" w:rsidRPr="00A13C31" w:rsidRDefault="00A13C31" w:rsidP="000A4E41">
      <w:pPr>
        <w:rPr>
          <w:rFonts w:ascii="Arial" w:hAnsi="Arial" w:cs="Arial"/>
        </w:rPr>
      </w:pPr>
    </w:p>
    <w:p w14:paraId="3E87697D" w14:textId="77777777" w:rsidR="00A13C31" w:rsidRPr="00A13C31" w:rsidRDefault="00A13C31" w:rsidP="000A4E41">
      <w:pPr>
        <w:numPr>
          <w:ilvl w:val="0"/>
          <w:numId w:val="12"/>
        </w:numPr>
        <w:rPr>
          <w:rFonts w:ascii="Arial" w:hAnsi="Arial" w:cs="Arial"/>
        </w:rPr>
      </w:pPr>
      <w:r w:rsidRPr="00A13C31">
        <w:rPr>
          <w:rFonts w:ascii="Arial" w:hAnsi="Arial" w:cs="Arial"/>
        </w:rPr>
        <w:t xml:space="preserve">The City shall recommend to the Western Australian Planning Commission (WAPC) that a condition be imposed on subdivision approvals (where applicable) requiring the applicant/owner to construct uniform fencing in accordance with this policy. </w:t>
      </w:r>
    </w:p>
    <w:p w14:paraId="6BE6A92A" w14:textId="77777777" w:rsidR="00A13C31" w:rsidRPr="00A13C31" w:rsidRDefault="00A13C31" w:rsidP="000A4E41">
      <w:pPr>
        <w:rPr>
          <w:rFonts w:ascii="Arial" w:hAnsi="Arial" w:cs="Arial"/>
        </w:rPr>
      </w:pPr>
    </w:p>
    <w:p w14:paraId="0AF49869" w14:textId="77777777" w:rsidR="00A13C31" w:rsidRPr="00A13C31" w:rsidRDefault="00A13C31" w:rsidP="000A4E41">
      <w:pPr>
        <w:ind w:left="720" w:hanging="720"/>
        <w:rPr>
          <w:rFonts w:ascii="Arial" w:hAnsi="Arial" w:cs="Arial"/>
        </w:rPr>
      </w:pPr>
      <w:r w:rsidRPr="00A13C31">
        <w:rPr>
          <w:rFonts w:ascii="Arial" w:hAnsi="Arial" w:cs="Arial"/>
        </w:rPr>
        <w:t>(2)</w:t>
      </w:r>
      <w:r w:rsidRPr="00A13C31">
        <w:rPr>
          <w:rFonts w:ascii="Arial" w:hAnsi="Arial" w:cs="Arial"/>
        </w:rPr>
        <w:tab/>
      </w:r>
      <w:r w:rsidRPr="00BC04CD">
        <w:rPr>
          <w:rFonts w:ascii="Arial" w:hAnsi="Arial" w:cs="Arial"/>
        </w:rPr>
        <w:t>General Uniform Fencing Standards</w:t>
      </w:r>
    </w:p>
    <w:p w14:paraId="6487BA33" w14:textId="77777777" w:rsidR="00A13C31" w:rsidRPr="00A13C31" w:rsidRDefault="00A13C31" w:rsidP="000A4E41">
      <w:pPr>
        <w:ind w:left="720" w:hanging="720"/>
        <w:rPr>
          <w:rFonts w:ascii="Arial" w:hAnsi="Arial" w:cs="Arial"/>
        </w:rPr>
      </w:pPr>
    </w:p>
    <w:p w14:paraId="45FF305C" w14:textId="77777777" w:rsidR="00A13C31" w:rsidRPr="00A13C31" w:rsidRDefault="00A13C31" w:rsidP="000A4E41">
      <w:pPr>
        <w:numPr>
          <w:ilvl w:val="0"/>
          <w:numId w:val="9"/>
        </w:numPr>
        <w:rPr>
          <w:rFonts w:ascii="Arial" w:hAnsi="Arial" w:cs="Arial"/>
        </w:rPr>
      </w:pPr>
      <w:r w:rsidRPr="00A13C31">
        <w:rPr>
          <w:rFonts w:ascii="Arial" w:hAnsi="Arial" w:cs="Arial"/>
        </w:rPr>
        <w:t>Uniform fencing shall generally be a minimum height of 1800mm above natural ground level.  This does not include retaining walls.  Uniform fencing below 1800mm in height may be considered appropriate for specific locations, including where it is required to be installed above a retaining wall.</w:t>
      </w:r>
    </w:p>
    <w:p w14:paraId="69EF2099" w14:textId="77777777" w:rsidR="00A13C31" w:rsidRPr="00A13C31" w:rsidRDefault="00A13C31" w:rsidP="000A4E41">
      <w:pPr>
        <w:ind w:left="720"/>
        <w:rPr>
          <w:rFonts w:ascii="Arial" w:hAnsi="Arial" w:cs="Arial"/>
        </w:rPr>
      </w:pPr>
    </w:p>
    <w:p w14:paraId="15C26BFF" w14:textId="77777777" w:rsidR="00A13C31" w:rsidRPr="00A13C31" w:rsidRDefault="00A13C31" w:rsidP="000A4E41">
      <w:pPr>
        <w:numPr>
          <w:ilvl w:val="0"/>
          <w:numId w:val="9"/>
        </w:numPr>
        <w:rPr>
          <w:rFonts w:ascii="Arial" w:hAnsi="Arial" w:cs="Arial"/>
        </w:rPr>
      </w:pPr>
      <w:r w:rsidRPr="00A13C31">
        <w:rPr>
          <w:rFonts w:ascii="Arial" w:hAnsi="Arial" w:cs="Arial"/>
        </w:rPr>
        <w:t xml:space="preserve">Uniform fencing shall be constructed of limestone, brick, masonry or other durable materials approved by the City.  Uniform fencing using modular construction may be considered provided that the wall presents a rendered or </w:t>
      </w:r>
      <w:r w:rsidRPr="00A13C31">
        <w:rPr>
          <w:rFonts w:ascii="Arial" w:hAnsi="Arial" w:cs="Arial"/>
        </w:rPr>
        <w:lastRenderedPageBreak/>
        <w:t>similar finish and it can be demonstrated that the repair and maintenance requirements of such a wall is satisfactory to the City.</w:t>
      </w:r>
    </w:p>
    <w:p w14:paraId="5EB5C404" w14:textId="77777777" w:rsidR="00A13C31" w:rsidRPr="00A13C31" w:rsidRDefault="00A13C31" w:rsidP="000A4E41">
      <w:pPr>
        <w:rPr>
          <w:rFonts w:ascii="Arial" w:hAnsi="Arial" w:cs="Arial"/>
        </w:rPr>
      </w:pPr>
    </w:p>
    <w:p w14:paraId="7E2DB7FF" w14:textId="77777777" w:rsidR="00A13C31" w:rsidRPr="00A13C31" w:rsidRDefault="00A13C31" w:rsidP="000A4E41">
      <w:pPr>
        <w:numPr>
          <w:ilvl w:val="0"/>
          <w:numId w:val="9"/>
        </w:numPr>
        <w:rPr>
          <w:rFonts w:ascii="Arial" w:hAnsi="Arial" w:cs="Arial"/>
        </w:rPr>
      </w:pPr>
      <w:r w:rsidRPr="00A13C31">
        <w:rPr>
          <w:rFonts w:ascii="Arial" w:hAnsi="Arial" w:cs="Arial"/>
        </w:rPr>
        <w:t xml:space="preserve">Colorbond® steel (or similar), ring-lock/cyclone, super-six/fibro cement and twin-side post and panel fencing are not acceptable materials where uniform fencing is required. </w:t>
      </w:r>
    </w:p>
    <w:p w14:paraId="3AF8BD14" w14:textId="77777777" w:rsidR="00A13C31" w:rsidRPr="00A13C31" w:rsidRDefault="00A13C31" w:rsidP="000A4E41">
      <w:pPr>
        <w:rPr>
          <w:rFonts w:ascii="Arial" w:hAnsi="Arial" w:cs="Arial"/>
        </w:rPr>
      </w:pPr>
    </w:p>
    <w:p w14:paraId="737A8373" w14:textId="77777777" w:rsidR="00A13C31" w:rsidRPr="00A13C31" w:rsidRDefault="00A13C31" w:rsidP="000A4E41">
      <w:pPr>
        <w:numPr>
          <w:ilvl w:val="0"/>
          <w:numId w:val="9"/>
        </w:numPr>
        <w:rPr>
          <w:rFonts w:ascii="Arial" w:hAnsi="Arial" w:cs="Arial"/>
        </w:rPr>
      </w:pPr>
      <w:r w:rsidRPr="00A13C31">
        <w:rPr>
          <w:rFonts w:ascii="Arial" w:hAnsi="Arial" w:cs="Arial"/>
        </w:rPr>
        <w:t>Uniform fencing, where visually permeable infill panels are required shall be constructed of wrought iron, steel, aluminium or other similar durable material to the satisfaction of the City.  Timber infill panels are generally not supported due to its high maintenance and low durability compared to metal products.  Infill panels shall be constructed above 1.2m in height above natural ground level and shall be visually permeable in accordance with the definition contained in the Residential Design Codes of Western Australia (R-Codes).  Visually permeable infill panels below 1.2m may also be considered for approval.</w:t>
      </w:r>
    </w:p>
    <w:p w14:paraId="3E11D527" w14:textId="77777777" w:rsidR="00A13C31" w:rsidRPr="00A13C31" w:rsidRDefault="00A13C31" w:rsidP="000A4E41">
      <w:pPr>
        <w:rPr>
          <w:rFonts w:ascii="Arial" w:hAnsi="Arial" w:cs="Arial"/>
        </w:rPr>
      </w:pPr>
    </w:p>
    <w:p w14:paraId="4D2B151B" w14:textId="77777777" w:rsidR="00A13C31" w:rsidRPr="00A13C31" w:rsidRDefault="00A13C31" w:rsidP="000A4E41">
      <w:pPr>
        <w:numPr>
          <w:ilvl w:val="0"/>
          <w:numId w:val="9"/>
        </w:numPr>
        <w:rPr>
          <w:rFonts w:ascii="Arial" w:hAnsi="Arial" w:cs="Arial"/>
        </w:rPr>
      </w:pPr>
      <w:r w:rsidRPr="00A13C31">
        <w:rPr>
          <w:rFonts w:ascii="Arial" w:hAnsi="Arial" w:cs="Arial"/>
        </w:rPr>
        <w:t>Uniform fencing piers shall be a maximum of 300mm above the fence line and provided at any interval of not more than 7.5m for limestone, brick or masonry and 6m for all other fences.</w:t>
      </w:r>
    </w:p>
    <w:p w14:paraId="08D581C8" w14:textId="77777777" w:rsidR="00A13C31" w:rsidRPr="00A13C31" w:rsidRDefault="00A13C31" w:rsidP="000A4E41">
      <w:pPr>
        <w:ind w:left="1080"/>
        <w:rPr>
          <w:rFonts w:ascii="Arial" w:hAnsi="Arial" w:cs="Arial"/>
        </w:rPr>
      </w:pPr>
    </w:p>
    <w:p w14:paraId="01E08863" w14:textId="77777777" w:rsidR="00A13C31" w:rsidRPr="00A13C31" w:rsidRDefault="00A13C31" w:rsidP="000A4E41">
      <w:pPr>
        <w:numPr>
          <w:ilvl w:val="0"/>
          <w:numId w:val="9"/>
        </w:numPr>
        <w:rPr>
          <w:rFonts w:ascii="Arial" w:hAnsi="Arial" w:cs="Arial"/>
        </w:rPr>
      </w:pPr>
      <w:r w:rsidRPr="00A13C31">
        <w:rPr>
          <w:rFonts w:ascii="Arial" w:hAnsi="Arial" w:cs="Arial"/>
        </w:rPr>
        <w:t>Approval for the subsequent removal and/or modification of uniform fencing will not be granted unless it is demonstrated by the applicant that the alternative maintains Council's objectives of achieving a high level of visual amenity, high durability and adequate passive surveillance (where appropriate).</w:t>
      </w:r>
    </w:p>
    <w:p w14:paraId="1DDCF052" w14:textId="77777777" w:rsidR="00A13C31" w:rsidRPr="00A13C31" w:rsidRDefault="00A13C31" w:rsidP="000A4E41">
      <w:pPr>
        <w:ind w:left="1080"/>
        <w:rPr>
          <w:rFonts w:ascii="Arial" w:hAnsi="Arial" w:cs="Arial"/>
        </w:rPr>
      </w:pPr>
    </w:p>
    <w:p w14:paraId="3FFC2FAA" w14:textId="77777777" w:rsidR="00A13C31" w:rsidRPr="00A13C31" w:rsidRDefault="00A13C31" w:rsidP="000A4E41">
      <w:pPr>
        <w:numPr>
          <w:ilvl w:val="0"/>
          <w:numId w:val="9"/>
        </w:numPr>
        <w:rPr>
          <w:rFonts w:ascii="Arial" w:hAnsi="Arial" w:cs="Arial"/>
        </w:rPr>
      </w:pPr>
      <w:r w:rsidRPr="00A13C31">
        <w:rPr>
          <w:rFonts w:ascii="Arial" w:hAnsi="Arial" w:cs="Arial"/>
        </w:rPr>
        <w:t>Fencing which may impede visual sightlines and pedestrian /or vehicular movement is required to be no higher than 750mm within 1.5m of a vehicle crossover.</w:t>
      </w:r>
    </w:p>
    <w:p w14:paraId="48BD6E3D" w14:textId="77777777" w:rsidR="00A13C31" w:rsidRPr="00A13C31" w:rsidRDefault="00A13C31" w:rsidP="000A4E41">
      <w:pPr>
        <w:rPr>
          <w:rFonts w:ascii="Arial" w:hAnsi="Arial" w:cs="Arial"/>
        </w:rPr>
      </w:pPr>
    </w:p>
    <w:p w14:paraId="263B0011" w14:textId="77777777" w:rsidR="00A13C31" w:rsidRPr="00A13C31" w:rsidRDefault="00A13C31" w:rsidP="000A4E41">
      <w:pPr>
        <w:numPr>
          <w:ilvl w:val="0"/>
          <w:numId w:val="9"/>
        </w:numPr>
        <w:rPr>
          <w:rFonts w:ascii="Arial" w:hAnsi="Arial" w:cs="Arial"/>
        </w:rPr>
      </w:pPr>
      <w:r w:rsidRPr="00A13C31">
        <w:rPr>
          <w:rFonts w:ascii="Arial" w:hAnsi="Arial" w:cs="Arial"/>
        </w:rPr>
        <w:t>Any solid uniform fencing shall be treated with non-sacrificial graffiti protection to the City’s satisfaction.</w:t>
      </w:r>
    </w:p>
    <w:p w14:paraId="407E40DA" w14:textId="77777777" w:rsidR="00A13C31" w:rsidRPr="00A13C31" w:rsidRDefault="00A13C31" w:rsidP="000A4E41">
      <w:pPr>
        <w:pStyle w:val="ListParagraph"/>
        <w:rPr>
          <w:rFonts w:ascii="Arial" w:hAnsi="Arial" w:cs="Arial"/>
        </w:rPr>
      </w:pPr>
    </w:p>
    <w:p w14:paraId="468AB945" w14:textId="77777777" w:rsidR="00A13C31" w:rsidRPr="00A13C31" w:rsidRDefault="00A13C31" w:rsidP="000A4E41">
      <w:pPr>
        <w:numPr>
          <w:ilvl w:val="0"/>
          <w:numId w:val="9"/>
        </w:numPr>
        <w:rPr>
          <w:rFonts w:ascii="Arial" w:hAnsi="Arial" w:cs="Arial"/>
        </w:rPr>
      </w:pPr>
      <w:r w:rsidRPr="00A13C31">
        <w:rPr>
          <w:rFonts w:ascii="Arial" w:hAnsi="Arial" w:cs="Arial"/>
        </w:rPr>
        <w:t>Full elevation and site plans are required to be submitted to the City’s Statutory Planning Services for its endorsement prior to the installation of any uniform fencing.</w:t>
      </w:r>
    </w:p>
    <w:p w14:paraId="52F2703F" w14:textId="77777777" w:rsidR="00A13C31" w:rsidRPr="00BC04CD" w:rsidRDefault="00A13C31" w:rsidP="000A4E41">
      <w:pPr>
        <w:rPr>
          <w:rFonts w:ascii="Arial" w:hAnsi="Arial" w:cs="Arial"/>
        </w:rPr>
      </w:pPr>
    </w:p>
    <w:p w14:paraId="39C8F51B" w14:textId="77777777" w:rsidR="00A13C31" w:rsidRPr="00BC04CD" w:rsidRDefault="00A13C31" w:rsidP="000A4E41">
      <w:pPr>
        <w:ind w:left="720" w:hanging="720"/>
        <w:rPr>
          <w:rFonts w:ascii="Arial" w:hAnsi="Arial" w:cs="Arial"/>
        </w:rPr>
      </w:pPr>
      <w:r w:rsidRPr="00BC04CD">
        <w:rPr>
          <w:rFonts w:ascii="Arial" w:hAnsi="Arial" w:cs="Arial"/>
        </w:rPr>
        <w:t>(3)</w:t>
      </w:r>
      <w:r w:rsidRPr="00BC04CD">
        <w:rPr>
          <w:rFonts w:ascii="Arial" w:hAnsi="Arial" w:cs="Arial"/>
        </w:rPr>
        <w:tab/>
        <w:t>Uniform Fencing abutting Primary &amp; Other Regional Roads and Railway Reserves</w:t>
      </w:r>
    </w:p>
    <w:p w14:paraId="6D6FECF0" w14:textId="77777777" w:rsidR="00A13C31" w:rsidRPr="00A13C31" w:rsidRDefault="00A13C31" w:rsidP="000A4E41">
      <w:pPr>
        <w:rPr>
          <w:rFonts w:ascii="Arial" w:hAnsi="Arial" w:cs="Arial"/>
        </w:rPr>
      </w:pPr>
    </w:p>
    <w:p w14:paraId="79E1B51C" w14:textId="77777777" w:rsidR="00A13C31" w:rsidRPr="00A13C31" w:rsidRDefault="00A13C31" w:rsidP="000A4E41">
      <w:pPr>
        <w:numPr>
          <w:ilvl w:val="0"/>
          <w:numId w:val="10"/>
        </w:numPr>
        <w:rPr>
          <w:rFonts w:ascii="Arial" w:hAnsi="Arial" w:cs="Arial"/>
        </w:rPr>
      </w:pPr>
      <w:r w:rsidRPr="00A13C31">
        <w:rPr>
          <w:rFonts w:ascii="Arial" w:hAnsi="Arial" w:cs="Arial"/>
        </w:rPr>
        <w:t xml:space="preserve">Uniform fencing abutting regional roads and railway reserves may be required to provide additional elements to satisfy noise attenuation measures in order to comply with </w:t>
      </w:r>
      <w:r w:rsidRPr="00A13C31">
        <w:rPr>
          <w:rFonts w:ascii="Arial" w:hAnsi="Arial" w:cs="Arial"/>
          <w:i/>
        </w:rPr>
        <w:t>State Planning Policy 5.4 ‘Road and Rail Transport Noise and Freight Considerations in Land Use Planning</w:t>
      </w:r>
      <w:r w:rsidRPr="00A13C31">
        <w:rPr>
          <w:rFonts w:ascii="Arial" w:hAnsi="Arial" w:cs="Arial"/>
        </w:rPr>
        <w:t>.</w:t>
      </w:r>
    </w:p>
    <w:p w14:paraId="62EDF22C" w14:textId="77777777" w:rsidR="00A13C31" w:rsidRPr="00A13C31" w:rsidRDefault="00A13C31" w:rsidP="000A4E41">
      <w:pPr>
        <w:ind w:left="1080"/>
        <w:rPr>
          <w:rFonts w:ascii="Arial" w:hAnsi="Arial" w:cs="Arial"/>
        </w:rPr>
      </w:pPr>
    </w:p>
    <w:p w14:paraId="5D707DB1" w14:textId="77777777" w:rsidR="00A13C31" w:rsidRPr="00A13C31" w:rsidRDefault="00A13C31" w:rsidP="000A4E41">
      <w:pPr>
        <w:numPr>
          <w:ilvl w:val="0"/>
          <w:numId w:val="10"/>
        </w:numPr>
        <w:rPr>
          <w:rFonts w:ascii="Arial" w:hAnsi="Arial" w:cs="Arial"/>
        </w:rPr>
      </w:pPr>
      <w:r w:rsidRPr="00A13C31">
        <w:rPr>
          <w:rFonts w:ascii="Arial" w:hAnsi="Arial" w:cs="Arial"/>
        </w:rPr>
        <w:t>Uniform fencing abutting regional roads and rail reserves shall generally be of solid construction without visually permeable infill panels.</w:t>
      </w:r>
    </w:p>
    <w:p w14:paraId="3F92C4DF" w14:textId="77777777" w:rsidR="00A13C31" w:rsidRPr="00A13C31" w:rsidRDefault="00A13C31" w:rsidP="000A4E41">
      <w:pPr>
        <w:rPr>
          <w:rFonts w:ascii="Arial" w:hAnsi="Arial" w:cs="Arial"/>
        </w:rPr>
      </w:pPr>
    </w:p>
    <w:p w14:paraId="7C97631E" w14:textId="77777777" w:rsidR="00A13C31" w:rsidRPr="00A13C31" w:rsidRDefault="00A13C31" w:rsidP="000A4E41">
      <w:pPr>
        <w:numPr>
          <w:ilvl w:val="0"/>
          <w:numId w:val="10"/>
        </w:numPr>
        <w:rPr>
          <w:rFonts w:ascii="Arial" w:hAnsi="Arial" w:cs="Arial"/>
        </w:rPr>
      </w:pPr>
      <w:r w:rsidRPr="00A13C31">
        <w:rPr>
          <w:rFonts w:ascii="Arial" w:hAnsi="Arial" w:cs="Arial"/>
        </w:rPr>
        <w:t>Extensive portions of solid uniform fencing shall be suitably broken up with different materials/textures/landscaping to provide visual relief.</w:t>
      </w:r>
    </w:p>
    <w:p w14:paraId="56C27A5F" w14:textId="77777777" w:rsidR="00A13C31" w:rsidRDefault="00A13C31" w:rsidP="000A4E41">
      <w:pPr>
        <w:rPr>
          <w:rFonts w:ascii="Arial" w:hAnsi="Arial" w:cs="Arial"/>
        </w:rPr>
      </w:pPr>
    </w:p>
    <w:p w14:paraId="7DDD6DBE" w14:textId="77777777" w:rsidR="00BC04CD" w:rsidRPr="00A13C31" w:rsidRDefault="00BC04CD" w:rsidP="000A4E41">
      <w:pPr>
        <w:rPr>
          <w:rFonts w:ascii="Arial" w:hAnsi="Arial" w:cs="Arial"/>
        </w:rPr>
      </w:pPr>
    </w:p>
    <w:p w14:paraId="32C80D0F" w14:textId="77777777" w:rsidR="00A13C31" w:rsidRPr="00A13C31" w:rsidRDefault="00A13C31" w:rsidP="000A4E41">
      <w:pPr>
        <w:rPr>
          <w:rFonts w:ascii="Arial" w:hAnsi="Arial" w:cs="Arial"/>
          <w:u w:val="single"/>
        </w:rPr>
      </w:pPr>
      <w:r w:rsidRPr="00A13C31">
        <w:rPr>
          <w:rFonts w:ascii="Arial" w:hAnsi="Arial" w:cs="Arial"/>
        </w:rPr>
        <w:lastRenderedPageBreak/>
        <w:t>(4)</w:t>
      </w:r>
      <w:r w:rsidRPr="00A13C31">
        <w:rPr>
          <w:rFonts w:ascii="Arial" w:hAnsi="Arial" w:cs="Arial"/>
        </w:rPr>
        <w:tab/>
      </w:r>
      <w:r w:rsidRPr="00BC04CD">
        <w:rPr>
          <w:rFonts w:ascii="Arial" w:hAnsi="Arial" w:cs="Arial"/>
        </w:rPr>
        <w:t>Uniform Fencing abutting all other roads</w:t>
      </w:r>
    </w:p>
    <w:p w14:paraId="3FA9B5D1" w14:textId="77777777" w:rsidR="00A13C31" w:rsidRPr="00A13C31" w:rsidRDefault="00A13C31" w:rsidP="000A4E41">
      <w:pPr>
        <w:rPr>
          <w:rFonts w:ascii="Arial" w:hAnsi="Arial" w:cs="Arial"/>
        </w:rPr>
      </w:pPr>
    </w:p>
    <w:p w14:paraId="6CB0E3B2" w14:textId="77777777" w:rsidR="00A13C31" w:rsidRPr="00A13C31" w:rsidRDefault="00A13C31" w:rsidP="000A4E41">
      <w:pPr>
        <w:numPr>
          <w:ilvl w:val="0"/>
          <w:numId w:val="11"/>
        </w:numPr>
        <w:rPr>
          <w:rFonts w:ascii="Arial" w:hAnsi="Arial" w:cs="Arial"/>
        </w:rPr>
      </w:pPr>
      <w:r w:rsidRPr="00A13C31">
        <w:rPr>
          <w:rFonts w:ascii="Arial" w:hAnsi="Arial" w:cs="Arial"/>
        </w:rPr>
        <w:t>Uniform fencing abutting local roads shall generally be of solid construction but may in some instances be required to provide visually permeable infill panels to promote passive surveillance depending on the location and traffic associated with the road.</w:t>
      </w:r>
    </w:p>
    <w:p w14:paraId="591C1C86" w14:textId="77777777" w:rsidR="00A13C31" w:rsidRPr="00A13C31" w:rsidRDefault="00A13C31" w:rsidP="000A4E41">
      <w:pPr>
        <w:rPr>
          <w:rFonts w:ascii="Arial" w:hAnsi="Arial" w:cs="Arial"/>
        </w:rPr>
      </w:pPr>
    </w:p>
    <w:p w14:paraId="267F1A12" w14:textId="77777777" w:rsidR="00A13C31" w:rsidRPr="00A13C31" w:rsidRDefault="00A13C31" w:rsidP="000A4E41">
      <w:pPr>
        <w:rPr>
          <w:rFonts w:ascii="Arial" w:hAnsi="Arial" w:cs="Arial"/>
          <w:u w:val="single"/>
        </w:rPr>
      </w:pPr>
      <w:r w:rsidRPr="00A13C31">
        <w:rPr>
          <w:rFonts w:ascii="Arial" w:hAnsi="Arial" w:cs="Arial"/>
        </w:rPr>
        <w:t>(5)</w:t>
      </w:r>
      <w:r w:rsidRPr="00A13C31">
        <w:rPr>
          <w:rFonts w:ascii="Arial" w:hAnsi="Arial" w:cs="Arial"/>
        </w:rPr>
        <w:tab/>
      </w:r>
      <w:r w:rsidRPr="00BC04CD">
        <w:rPr>
          <w:rFonts w:ascii="Arial" w:hAnsi="Arial" w:cs="Arial"/>
        </w:rPr>
        <w:t>Uniform Fencing abutting Public Open Space (POS)</w:t>
      </w:r>
    </w:p>
    <w:p w14:paraId="7517F2C3" w14:textId="77777777" w:rsidR="00A13C31" w:rsidRPr="00A13C31" w:rsidRDefault="00A13C31" w:rsidP="000A4E41">
      <w:pPr>
        <w:rPr>
          <w:rFonts w:ascii="Arial" w:hAnsi="Arial" w:cs="Arial"/>
        </w:rPr>
      </w:pPr>
    </w:p>
    <w:p w14:paraId="32C914F5" w14:textId="77777777" w:rsidR="00A13C31" w:rsidRPr="00A13C31" w:rsidRDefault="00A13C31" w:rsidP="000A4E41">
      <w:pPr>
        <w:numPr>
          <w:ilvl w:val="0"/>
          <w:numId w:val="13"/>
        </w:numPr>
        <w:rPr>
          <w:rFonts w:ascii="Arial" w:hAnsi="Arial" w:cs="Arial"/>
        </w:rPr>
      </w:pPr>
      <w:r w:rsidRPr="00A13C31">
        <w:rPr>
          <w:rFonts w:ascii="Arial" w:hAnsi="Arial" w:cs="Arial"/>
        </w:rPr>
        <w:t>Uniform fencing abutting POS shall provide visually permeable infill panels to promote passive surveillance.</w:t>
      </w:r>
    </w:p>
    <w:p w14:paraId="6735C70E" w14:textId="77777777" w:rsidR="00A13C31" w:rsidRPr="00A13C31" w:rsidRDefault="00A13C31" w:rsidP="000A4E41">
      <w:pPr>
        <w:ind w:left="1080"/>
        <w:rPr>
          <w:rFonts w:ascii="Arial" w:hAnsi="Arial" w:cs="Arial"/>
        </w:rPr>
      </w:pPr>
    </w:p>
    <w:p w14:paraId="15224BF1" w14:textId="77777777" w:rsidR="00A13C31" w:rsidRPr="00A13C31" w:rsidRDefault="00A13C31" w:rsidP="000A4E41">
      <w:pPr>
        <w:numPr>
          <w:ilvl w:val="0"/>
          <w:numId w:val="13"/>
        </w:numPr>
        <w:rPr>
          <w:rFonts w:ascii="Arial" w:hAnsi="Arial" w:cs="Arial"/>
        </w:rPr>
      </w:pPr>
      <w:r w:rsidRPr="00A13C31">
        <w:rPr>
          <w:rFonts w:ascii="Arial" w:hAnsi="Arial" w:cs="Arial"/>
        </w:rPr>
        <w:t>Minor portions of solid uniform fencing may be permitted to screen some areas of residential land including drying areas.</w:t>
      </w:r>
    </w:p>
    <w:p w14:paraId="5FC80695" w14:textId="77777777" w:rsidR="00A13C31" w:rsidRPr="00A13C31" w:rsidRDefault="00A13C31" w:rsidP="000A4E41">
      <w:pPr>
        <w:rPr>
          <w:rFonts w:ascii="Arial" w:hAnsi="Arial" w:cs="Arial"/>
        </w:rPr>
      </w:pPr>
    </w:p>
    <w:p w14:paraId="17B17E83" w14:textId="77777777" w:rsidR="00A13C31" w:rsidRPr="00A13C31" w:rsidRDefault="00A13C31" w:rsidP="000A4E41">
      <w:pPr>
        <w:numPr>
          <w:ilvl w:val="0"/>
          <w:numId w:val="13"/>
        </w:numPr>
        <w:rPr>
          <w:rFonts w:ascii="Arial" w:hAnsi="Arial" w:cs="Arial"/>
        </w:rPr>
      </w:pPr>
      <w:r w:rsidRPr="00A13C31">
        <w:rPr>
          <w:rFonts w:ascii="Arial" w:hAnsi="Arial" w:cs="Arial"/>
        </w:rPr>
        <w:t>Pedestrian access gates (and stairs if required) are encouraged to be constructed as part of the uniform fencing between residential lots and POS to encourage use of the POS by the adjoining residents.</w:t>
      </w:r>
    </w:p>
    <w:p w14:paraId="0F4F2F26" w14:textId="77777777" w:rsidR="00A13C31" w:rsidRPr="00A13C31" w:rsidRDefault="00A13C31" w:rsidP="000A4E41">
      <w:pPr>
        <w:rPr>
          <w:rFonts w:ascii="Arial" w:hAnsi="Arial" w:cs="Arial"/>
        </w:rPr>
      </w:pPr>
    </w:p>
    <w:p w14:paraId="6BD08A30" w14:textId="77777777" w:rsidR="00A13C31" w:rsidRPr="00BC04CD" w:rsidRDefault="00A13C31" w:rsidP="000A4E41">
      <w:pPr>
        <w:rPr>
          <w:rFonts w:ascii="Arial" w:hAnsi="Arial" w:cs="Arial"/>
        </w:rPr>
      </w:pPr>
      <w:r w:rsidRPr="00A13C31">
        <w:rPr>
          <w:rFonts w:ascii="Arial" w:hAnsi="Arial" w:cs="Arial"/>
        </w:rPr>
        <w:t>(6)</w:t>
      </w:r>
      <w:r w:rsidRPr="00A13C31">
        <w:rPr>
          <w:rFonts w:ascii="Arial" w:hAnsi="Arial" w:cs="Arial"/>
        </w:rPr>
        <w:tab/>
      </w:r>
      <w:r w:rsidRPr="00BC04CD">
        <w:rPr>
          <w:rFonts w:ascii="Arial" w:hAnsi="Arial" w:cs="Arial"/>
        </w:rPr>
        <w:t>Uniform Fencing abutting Pedestrian Access Ways (PAWs)</w:t>
      </w:r>
    </w:p>
    <w:p w14:paraId="3A5234EB" w14:textId="77777777" w:rsidR="00A13C31" w:rsidRPr="00A13C31" w:rsidRDefault="00A13C31" w:rsidP="000A4E41">
      <w:pPr>
        <w:rPr>
          <w:rFonts w:ascii="Arial" w:hAnsi="Arial" w:cs="Arial"/>
          <w:u w:val="single"/>
        </w:rPr>
      </w:pPr>
    </w:p>
    <w:p w14:paraId="7EC50158" w14:textId="77777777" w:rsidR="00A13C31" w:rsidRPr="00A13C31" w:rsidRDefault="00A13C31" w:rsidP="000A4E41">
      <w:pPr>
        <w:numPr>
          <w:ilvl w:val="0"/>
          <w:numId w:val="14"/>
        </w:numPr>
        <w:rPr>
          <w:rFonts w:ascii="Arial" w:hAnsi="Arial" w:cs="Arial"/>
        </w:rPr>
      </w:pPr>
      <w:r w:rsidRPr="00A13C31">
        <w:rPr>
          <w:rFonts w:ascii="Arial" w:hAnsi="Arial" w:cs="Arial"/>
        </w:rPr>
        <w:t>Uniform fencing abutting PAWs shall generally be required to provide visually permeable infill panels to promote passive surveillance of the PAW.</w:t>
      </w:r>
    </w:p>
    <w:p w14:paraId="66D19556" w14:textId="77777777" w:rsidR="00A13C31" w:rsidRPr="00A13C31" w:rsidRDefault="00A13C31" w:rsidP="000A4E41">
      <w:pPr>
        <w:ind w:left="1080"/>
        <w:rPr>
          <w:rFonts w:ascii="Arial" w:hAnsi="Arial" w:cs="Arial"/>
        </w:rPr>
      </w:pPr>
    </w:p>
    <w:p w14:paraId="115AF490" w14:textId="77777777" w:rsidR="00A13C31" w:rsidRPr="00A13C31" w:rsidRDefault="00A13C31" w:rsidP="000A4E41">
      <w:pPr>
        <w:numPr>
          <w:ilvl w:val="0"/>
          <w:numId w:val="14"/>
        </w:numPr>
        <w:rPr>
          <w:rFonts w:ascii="Arial" w:hAnsi="Arial" w:cs="Arial"/>
        </w:rPr>
      </w:pPr>
      <w:r w:rsidRPr="00A13C31">
        <w:rPr>
          <w:rFonts w:ascii="Arial" w:hAnsi="Arial" w:cs="Arial"/>
        </w:rPr>
        <w:t>Minor portions of solid uniform fencing may be permitted to screen some areas of residential land including drying areas.</w:t>
      </w:r>
    </w:p>
    <w:p w14:paraId="6964F680" w14:textId="77777777" w:rsidR="00151611" w:rsidRPr="00F94F2C" w:rsidRDefault="00151611" w:rsidP="000A4E41">
      <w:pPr>
        <w:tabs>
          <w:tab w:val="left" w:pos="9026"/>
        </w:tabs>
        <w:spacing w:before="2"/>
        <w:ind w:right="-46"/>
        <w:rPr>
          <w:rFonts w:ascii="Arial" w:hAnsi="Arial" w:cs="Arial"/>
        </w:rPr>
      </w:pPr>
    </w:p>
    <w:p w14:paraId="6151838F" w14:textId="77777777" w:rsidR="00656C9D" w:rsidRPr="00F94F2C" w:rsidRDefault="00656C9D" w:rsidP="000A4E41">
      <w:pPr>
        <w:tabs>
          <w:tab w:val="left" w:pos="9026"/>
        </w:tabs>
        <w:spacing w:before="2"/>
        <w:ind w:right="-46"/>
        <w:rPr>
          <w:rStyle w:val="Hyperlink"/>
          <w:rFonts w:cs="Arial"/>
          <w:b/>
          <w:bCs/>
        </w:rPr>
      </w:pPr>
    </w:p>
    <w:p w14:paraId="0F30F6D8" w14:textId="77777777" w:rsidR="00151611" w:rsidRPr="00F94F2C" w:rsidRDefault="00151611" w:rsidP="000A4E41">
      <w:pPr>
        <w:tabs>
          <w:tab w:val="left" w:pos="9026"/>
        </w:tabs>
        <w:spacing w:before="2"/>
        <w:ind w:right="-46"/>
        <w:rPr>
          <w:rStyle w:val="Hyperlink"/>
          <w:rFonts w:cs="Arial"/>
          <w:b/>
          <w:bCs/>
        </w:rPr>
      </w:pPr>
    </w:p>
    <w:p w14:paraId="647A738A" w14:textId="77777777" w:rsidR="00656C9D" w:rsidRPr="00721265" w:rsidRDefault="00656C9D" w:rsidP="000A4E41">
      <w:pPr>
        <w:rPr>
          <w:rFonts w:ascii="Arial" w:hAnsi="Arial" w:cs="Arial"/>
          <w:b/>
          <w:color w:val="FFFFFF"/>
          <w:sz w:val="4"/>
          <w:szCs w:val="4"/>
        </w:rPr>
      </w:pPr>
    </w:p>
    <w:p w14:paraId="48AF6261" w14:textId="77777777" w:rsidR="000E1BF6" w:rsidRPr="00721265" w:rsidRDefault="004A46E4" w:rsidP="000A4E41">
      <w:pPr>
        <w:rPr>
          <w:rFonts w:ascii="Arial" w:hAnsi="Arial" w:cs="Arial"/>
          <w:b/>
          <w:color w:val="FFFFFF"/>
          <w:sz w:val="4"/>
          <w:szCs w:val="4"/>
        </w:rPr>
      </w:pPr>
      <w:r w:rsidRPr="00721265">
        <w:rPr>
          <w:rFonts w:ascii="Arial" w:hAnsi="Arial" w:cs="Arial"/>
          <w:b/>
          <w:color w:val="FFFFFF"/>
          <w:sz w:val="4"/>
          <w:szCs w:val="4"/>
        </w:rPr>
        <w:t>Bookmark 2</w:t>
      </w:r>
    </w:p>
    <w:p w14:paraId="0B5DF6A3" w14:textId="77777777" w:rsidR="002C51C6" w:rsidRPr="00721265" w:rsidRDefault="002C51C6" w:rsidP="000A4E41">
      <w:pPr>
        <w:rPr>
          <w:rFonts w:ascii="Arial" w:hAnsi="Arial" w:cs="Arial"/>
          <w:b/>
          <w:color w:val="FFFFFF"/>
          <w:sz w:val="4"/>
          <w:szCs w:val="4"/>
        </w:rPr>
      </w:pPr>
      <w:bookmarkStart w:id="1" w:name="Bookmark3"/>
      <w:r w:rsidRPr="00721265">
        <w:rPr>
          <w:rFonts w:ascii="Arial" w:hAnsi="Arial" w:cs="Arial"/>
          <w:b/>
          <w:color w:val="FFFFFF"/>
          <w:sz w:val="4"/>
          <w:szCs w:val="4"/>
        </w:rPr>
        <w:t>Bookmark 3</w:t>
      </w:r>
    </w:p>
    <w:bookmarkEnd w:id="1"/>
    <w:p w14:paraId="2ECB8510" w14:textId="77777777" w:rsidR="000A4E41" w:rsidRPr="007A3D27" w:rsidRDefault="000A4E41" w:rsidP="000A4E41">
      <w:pPr>
        <w:rPr>
          <w:rFonts w:ascii="Arial" w:hAnsi="Arial" w:cs="Arial"/>
          <w:sz w:val="4"/>
          <w:szCs w:val="4"/>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A4E41" w14:paraId="0B5A9E4C"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p w14:paraId="50BC72FB" w14:textId="77777777" w:rsidR="000A4E41" w:rsidRDefault="000A4E41"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893DB8D" w14:textId="77777777" w:rsidR="000A4E41" w:rsidRDefault="000A4E41" w:rsidP="001B728D">
            <w:pPr>
              <w:rPr>
                <w:rFonts w:ascii="Arial" w:hAnsi="Arial" w:cs="Arial"/>
                <w:lang w:eastAsia="en-US"/>
              </w:rPr>
            </w:pPr>
            <w:r>
              <w:rPr>
                <w:rFonts w:ascii="Arial" w:hAnsi="Arial" w:cs="Arial"/>
                <w:lang w:eastAsia="en-US"/>
              </w:rPr>
              <w:t>Town Planning Scheme No. 3</w:t>
            </w:r>
          </w:p>
        </w:tc>
      </w:tr>
      <w:tr w:rsidR="000A4E41" w14:paraId="507B04A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E777691" w14:textId="77777777" w:rsidR="000A4E41" w:rsidRDefault="00177302"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0A4E41">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380C71EB" w14:textId="77777777" w:rsidR="000A4E41" w:rsidRDefault="000A4E41" w:rsidP="001B728D">
            <w:pPr>
              <w:rPr>
                <w:rFonts w:ascii="Arial" w:hAnsi="Arial" w:cs="Arial"/>
                <w:lang w:eastAsia="en-US"/>
              </w:rPr>
            </w:pPr>
            <w:r>
              <w:rPr>
                <w:rFonts w:ascii="Arial" w:hAnsi="Arial" w:cs="Arial"/>
                <w:lang w:eastAsia="en-US"/>
              </w:rPr>
              <w:t>Planning - Town Planning &amp; Development</w:t>
            </w:r>
          </w:p>
        </w:tc>
      </w:tr>
      <w:tr w:rsidR="000A4E41" w14:paraId="220A2D83"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A6E9B64" w14:textId="77777777" w:rsidR="000A4E41" w:rsidRDefault="00177302"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0A4E41">
                <w:rPr>
                  <w:rStyle w:val="Hyperlink"/>
                  <w:lang w:eastAsia="en-US"/>
                </w:rPr>
                <w:t>Lead Business Unit</w:t>
              </w:r>
            </w:hyperlink>
            <w:r w:rsidR="000A4E41">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04C168F" w14:textId="41C4625E" w:rsidR="000A4E41" w:rsidRDefault="00177302" w:rsidP="001B728D">
            <w:pPr>
              <w:rPr>
                <w:rFonts w:ascii="Arial" w:hAnsi="Arial" w:cs="Arial"/>
                <w:lang w:eastAsia="en-US"/>
              </w:rPr>
            </w:pPr>
            <w:r w:rsidRPr="002B079F">
              <w:rPr>
                <w:rFonts w:ascii="Arial" w:hAnsi="Arial" w:cs="Arial"/>
                <w:lang w:eastAsia="en-US"/>
              </w:rPr>
              <w:t>Development Assessment and Compliance</w:t>
            </w:r>
          </w:p>
        </w:tc>
      </w:tr>
      <w:tr w:rsidR="000A4E41" w14:paraId="377DDAE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B80D1F4" w14:textId="77777777" w:rsidR="000A4E41" w:rsidRDefault="00177302"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0A4E41">
                <w:rPr>
                  <w:rStyle w:val="Hyperlink"/>
                  <w:lang w:eastAsia="en-US"/>
                </w:rPr>
                <w:t>Public Consultation</w:t>
              </w:r>
            </w:hyperlink>
            <w:r w:rsidR="000A4E41">
              <w:rPr>
                <w:rStyle w:val="Hyperlink"/>
                <w:lang w:eastAsia="en-US"/>
              </w:rPr>
              <w:t>:</w:t>
            </w:r>
          </w:p>
          <w:p w14:paraId="180375E7" w14:textId="77777777" w:rsidR="000A4E41" w:rsidRDefault="000A4E41"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7CEE6EC" w14:textId="77777777" w:rsidR="000A4E41" w:rsidRDefault="000A4E41" w:rsidP="001B728D">
            <w:pPr>
              <w:rPr>
                <w:rFonts w:ascii="Arial" w:hAnsi="Arial" w:cs="Arial"/>
                <w:lang w:eastAsia="en-US"/>
              </w:rPr>
            </w:pPr>
            <w:r>
              <w:rPr>
                <w:rFonts w:ascii="Arial" w:hAnsi="Arial" w:cs="Arial"/>
                <w:lang w:eastAsia="en-US"/>
              </w:rPr>
              <w:t>Yes</w:t>
            </w:r>
          </w:p>
        </w:tc>
      </w:tr>
      <w:tr w:rsidR="000A4E41" w14:paraId="2D76449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244A537" w14:textId="77777777" w:rsidR="000A4E41" w:rsidRDefault="00177302"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0A4E41">
                <w:rPr>
                  <w:rStyle w:val="Hyperlink"/>
                  <w:lang w:eastAsia="en-US"/>
                </w:rPr>
                <w:t>Adoption Date</w:t>
              </w:r>
            </w:hyperlink>
            <w:r w:rsidR="000A4E41">
              <w:rPr>
                <w:rStyle w:val="Hyperlink"/>
                <w:lang w:eastAsia="en-US"/>
              </w:rPr>
              <w:t>:</w:t>
            </w:r>
          </w:p>
          <w:p w14:paraId="4E831721" w14:textId="77777777" w:rsidR="000A4E41" w:rsidRDefault="000A4E41"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61B396A" w14:textId="143403EA" w:rsidR="000A4E41" w:rsidRDefault="00177302" w:rsidP="00B04EEE">
            <w:pPr>
              <w:rPr>
                <w:rFonts w:ascii="Arial" w:hAnsi="Arial" w:cs="Arial"/>
                <w:lang w:eastAsia="en-US"/>
              </w:rPr>
            </w:pPr>
            <w:r>
              <w:rPr>
                <w:rFonts w:ascii="Arial" w:hAnsi="Arial" w:cs="Arial"/>
                <w:lang w:eastAsia="en-US"/>
              </w:rPr>
              <w:t>10 November 2022</w:t>
            </w:r>
          </w:p>
        </w:tc>
      </w:tr>
      <w:tr w:rsidR="000A4E41" w14:paraId="202B6812"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D332236" w14:textId="77777777" w:rsidR="000A4E41" w:rsidRDefault="00177302"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0A4E41">
                <w:rPr>
                  <w:rStyle w:val="Hyperlink"/>
                  <w:lang w:eastAsia="en-US"/>
                </w:rPr>
                <w:t>Next Review Due</w:t>
              </w:r>
            </w:hyperlink>
            <w:r w:rsidR="000A4E41">
              <w:rPr>
                <w:rStyle w:val="Hyperlink"/>
                <w:lang w:eastAsia="en-US"/>
              </w:rPr>
              <w:t>:</w:t>
            </w:r>
          </w:p>
          <w:p w14:paraId="1DB45007" w14:textId="77777777" w:rsidR="000A4E41" w:rsidRDefault="000A4E41"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96EF14A" w14:textId="20D03834" w:rsidR="000A4E41" w:rsidRDefault="00177302" w:rsidP="00B04EEE">
            <w:pPr>
              <w:rPr>
                <w:rFonts w:ascii="Arial" w:hAnsi="Arial" w:cs="Arial"/>
                <w:lang w:eastAsia="en-US"/>
              </w:rPr>
            </w:pPr>
            <w:r>
              <w:rPr>
                <w:rFonts w:ascii="Arial" w:hAnsi="Arial" w:cs="Arial"/>
                <w:lang w:eastAsia="en-US"/>
              </w:rPr>
              <w:t>November 2024</w:t>
            </w:r>
          </w:p>
        </w:tc>
      </w:tr>
      <w:tr w:rsidR="000A4E41" w14:paraId="53784018"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3C443941" w14:textId="77777777" w:rsidR="000A4E41" w:rsidRDefault="00177302" w:rsidP="001B728D">
            <w:pPr>
              <w:spacing w:line="262" w:lineRule="exact"/>
              <w:ind w:left="105"/>
              <w:rPr>
                <w:rFonts w:ascii="Arial" w:hAnsi="Arial" w:cs="Arial"/>
                <w:color w:val="808080"/>
                <w:lang w:eastAsia="en-US"/>
              </w:rPr>
            </w:pPr>
            <w:hyperlink r:id="rId13" w:anchor="Bookmark3" w:tooltip="ECM Doc Set ID: this refers Doc Set ID in ECM" w:history="1">
              <w:r w:rsidR="000A4E41">
                <w:rPr>
                  <w:rStyle w:val="Hyperlink"/>
                  <w:lang w:eastAsia="en-US"/>
                </w:rPr>
                <w:t>ECM Doc Set ID</w:t>
              </w:r>
            </w:hyperlink>
            <w:r w:rsidR="000A4E41">
              <w:rPr>
                <w:rStyle w:val="Hyperlink"/>
                <w:lang w:eastAsia="en-US"/>
              </w:rPr>
              <w:t>:</w:t>
            </w:r>
          </w:p>
          <w:p w14:paraId="20554DBA" w14:textId="77777777" w:rsidR="000A4E41" w:rsidRDefault="000A4E41"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393AD9E" w14:textId="77777777" w:rsidR="000A4E41" w:rsidRDefault="000A4E41" w:rsidP="001B728D">
            <w:pPr>
              <w:rPr>
                <w:rFonts w:ascii="Arial" w:hAnsi="Arial" w:cs="Arial"/>
                <w:lang w:eastAsia="en-US"/>
              </w:rPr>
            </w:pPr>
            <w:r w:rsidRPr="000A4E41">
              <w:rPr>
                <w:rFonts w:ascii="Arial" w:hAnsi="Arial" w:cs="Arial"/>
                <w:lang w:eastAsia="en-US"/>
              </w:rPr>
              <w:t>4517781</w:t>
            </w:r>
          </w:p>
        </w:tc>
      </w:tr>
    </w:tbl>
    <w:p w14:paraId="473FAD50" w14:textId="77777777" w:rsidR="00721265" w:rsidRPr="008816A0" w:rsidRDefault="00721265" w:rsidP="000A4E41"/>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D30A" w14:textId="77777777" w:rsidR="00A13C31" w:rsidRDefault="00A13C31">
      <w:r>
        <w:separator/>
      </w:r>
    </w:p>
  </w:endnote>
  <w:endnote w:type="continuationSeparator" w:id="0">
    <w:p w14:paraId="3433CC34" w14:textId="77777777" w:rsidR="00A13C31" w:rsidRDefault="00A1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CA96F92"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04EEE">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C5E7" w14:textId="77777777" w:rsidR="00A13C31" w:rsidRDefault="00A13C31">
      <w:r>
        <w:separator/>
      </w:r>
    </w:p>
  </w:footnote>
  <w:footnote w:type="continuationSeparator" w:id="0">
    <w:p w14:paraId="5C418AAF" w14:textId="77777777" w:rsidR="00A13C31" w:rsidRDefault="00A1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5F498E1" w14:textId="77777777" w:rsidTr="00623C8C">
      <w:trPr>
        <w:trHeight w:val="340"/>
        <w:tblCellSpacing w:w="20" w:type="dxa"/>
      </w:trPr>
      <w:tc>
        <w:tcPr>
          <w:tcW w:w="2088" w:type="dxa"/>
          <w:shd w:val="clear" w:color="auto" w:fill="auto"/>
          <w:vAlign w:val="center"/>
        </w:tcPr>
        <w:p w14:paraId="6CD23F6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8D8885F" w14:textId="77777777" w:rsidR="00623C8C" w:rsidRPr="00B71766" w:rsidRDefault="00177302" w:rsidP="00B71766">
          <w:pPr>
            <w:pStyle w:val="Header"/>
            <w:rPr>
              <w:rFonts w:ascii="Arial" w:hAnsi="Arial" w:cs="Arial"/>
              <w:b/>
              <w:caps/>
            </w:rPr>
          </w:pPr>
          <w:hyperlink r:id="rId1" w:history="1">
            <w:r w:rsidR="00B71766" w:rsidRPr="00B71766">
              <w:rPr>
                <w:rStyle w:val="Hyperlink"/>
                <w:rFonts w:cs="Arial"/>
                <w:b/>
              </w:rPr>
              <w:t>Uniform Fencing</w:t>
            </w:r>
          </w:hyperlink>
          <w:r w:rsidR="00B71766" w:rsidRPr="00B71766">
            <w:rPr>
              <w:rFonts w:ascii="Arial" w:hAnsi="Arial" w:cs="Arial"/>
              <w:b/>
              <w:caps/>
              <w:noProof/>
            </w:rPr>
            <w:t xml:space="preserve"> </w:t>
          </w:r>
          <w:r w:rsidR="009A0A01" w:rsidRPr="00B71766">
            <w:rPr>
              <w:rFonts w:ascii="Arial" w:hAnsi="Arial" w:cs="Arial"/>
              <w:b/>
              <w:caps/>
              <w:noProof/>
            </w:rPr>
            <w:drawing>
              <wp:anchor distT="0" distB="0" distL="114300" distR="114300" simplePos="0" relativeHeight="251657216" behindDoc="0" locked="0" layoutInCell="1" allowOverlap="1" wp14:anchorId="4ED873DB" wp14:editId="60E176D1">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6E6F7CCC" w14:textId="77777777" w:rsidTr="00623C8C">
      <w:trPr>
        <w:trHeight w:val="340"/>
        <w:tblCellSpacing w:w="20" w:type="dxa"/>
      </w:trPr>
      <w:tc>
        <w:tcPr>
          <w:tcW w:w="2088" w:type="dxa"/>
          <w:shd w:val="clear" w:color="auto" w:fill="auto"/>
          <w:vAlign w:val="center"/>
        </w:tcPr>
        <w:p w14:paraId="1399A697" w14:textId="77777777" w:rsidR="00F94F2C" w:rsidRDefault="00177302"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898A0D6"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625EEB23" w14:textId="77777777" w:rsidR="00623C8C" w:rsidRPr="00F94F2C" w:rsidRDefault="00B71766" w:rsidP="00623C8C">
          <w:pPr>
            <w:pStyle w:val="Header"/>
            <w:rPr>
              <w:rFonts w:ascii="Arial Bold" w:hAnsi="Arial Bold" w:cs="Arial"/>
              <w:b/>
              <w:caps/>
            </w:rPr>
          </w:pPr>
          <w:r>
            <w:rPr>
              <w:rFonts w:ascii="Arial Bold" w:hAnsi="Arial Bold" w:cs="Arial"/>
              <w:b/>
              <w:caps/>
            </w:rPr>
            <w:t>lpp 5.7</w:t>
          </w:r>
        </w:p>
      </w:tc>
    </w:tr>
  </w:tbl>
  <w:p w14:paraId="46138B3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51C0F"/>
    <w:multiLevelType w:val="hybridMultilevel"/>
    <w:tmpl w:val="D91E1100"/>
    <w:lvl w:ilvl="0" w:tplc="C2586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4E4642"/>
    <w:multiLevelType w:val="hybridMultilevel"/>
    <w:tmpl w:val="D91E1100"/>
    <w:lvl w:ilvl="0" w:tplc="C2586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EB7834"/>
    <w:multiLevelType w:val="hybridMultilevel"/>
    <w:tmpl w:val="D91E1100"/>
    <w:lvl w:ilvl="0" w:tplc="C2586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893B50"/>
    <w:multiLevelType w:val="hybridMultilevel"/>
    <w:tmpl w:val="D91E1100"/>
    <w:lvl w:ilvl="0" w:tplc="C2586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7B938AD"/>
    <w:multiLevelType w:val="hybridMultilevel"/>
    <w:tmpl w:val="D91E1100"/>
    <w:lvl w:ilvl="0" w:tplc="C2586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BE0922"/>
    <w:multiLevelType w:val="hybridMultilevel"/>
    <w:tmpl w:val="D91E1100"/>
    <w:lvl w:ilvl="0" w:tplc="C2586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4"/>
  </w:num>
  <w:num w:numId="3">
    <w:abstractNumId w:val="3"/>
  </w:num>
  <w:num w:numId="4">
    <w:abstractNumId w:val="10"/>
  </w:num>
  <w:num w:numId="5">
    <w:abstractNumId w:val="6"/>
  </w:num>
  <w:num w:numId="6">
    <w:abstractNumId w:val="12"/>
  </w:num>
  <w:num w:numId="7">
    <w:abstractNumId w:val="13"/>
  </w:num>
  <w:num w:numId="8">
    <w:abstractNumId w:val="0"/>
  </w:num>
  <w:num w:numId="9">
    <w:abstractNumId w:val="1"/>
  </w:num>
  <w:num w:numId="10">
    <w:abstractNumId w:val="2"/>
  </w:num>
  <w:num w:numId="11">
    <w:abstractNumId w:val="7"/>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C31"/>
    <w:rsid w:val="00017BC9"/>
    <w:rsid w:val="00023FB9"/>
    <w:rsid w:val="00050F8B"/>
    <w:rsid w:val="00052969"/>
    <w:rsid w:val="0005413B"/>
    <w:rsid w:val="00055B3A"/>
    <w:rsid w:val="0006383C"/>
    <w:rsid w:val="00075196"/>
    <w:rsid w:val="00094E6D"/>
    <w:rsid w:val="000A0634"/>
    <w:rsid w:val="000A4E41"/>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7302"/>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47831"/>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905E9"/>
    <w:rsid w:val="009A0A01"/>
    <w:rsid w:val="009A0FB1"/>
    <w:rsid w:val="009B3F72"/>
    <w:rsid w:val="009B5837"/>
    <w:rsid w:val="009E25EF"/>
    <w:rsid w:val="009E4B91"/>
    <w:rsid w:val="009E5977"/>
    <w:rsid w:val="00A016E1"/>
    <w:rsid w:val="00A132C6"/>
    <w:rsid w:val="00A13A64"/>
    <w:rsid w:val="00A13C31"/>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04EEE"/>
    <w:rsid w:val="00B12E2C"/>
    <w:rsid w:val="00B14CD3"/>
    <w:rsid w:val="00B21BD5"/>
    <w:rsid w:val="00B3044A"/>
    <w:rsid w:val="00B34BA7"/>
    <w:rsid w:val="00B41629"/>
    <w:rsid w:val="00B46674"/>
    <w:rsid w:val="00B472C6"/>
    <w:rsid w:val="00B60317"/>
    <w:rsid w:val="00B64DAE"/>
    <w:rsid w:val="00B71766"/>
    <w:rsid w:val="00B830AA"/>
    <w:rsid w:val="00B85BAF"/>
    <w:rsid w:val="00B9080D"/>
    <w:rsid w:val="00B962FF"/>
    <w:rsid w:val="00BA093F"/>
    <w:rsid w:val="00BA0F37"/>
    <w:rsid w:val="00BA333D"/>
    <w:rsid w:val="00BA67BD"/>
    <w:rsid w:val="00BB2FD9"/>
    <w:rsid w:val="00BC04CD"/>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AA11483"/>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74e2691a-9d2f-40f3-95cb-55f35c8624f2/ECM_4517781_v3_Uniform-Fencing-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AC33-4E8E-4FD4-93E0-1916FC86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7</TotalTime>
  <Pages>3</Pages>
  <Words>1289</Words>
  <Characters>7312</Characters>
  <Application>Microsoft Office Word</Application>
  <DocSecurity>0</DocSecurity>
  <Lines>221</Lines>
  <Paragraphs>92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8509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2022-11-25T02:57:00Z</cp:lastPrinted>
  <dcterms:created xsi:type="dcterms:W3CDTF">2018-11-15T06:38:00Z</dcterms:created>
  <dcterms:modified xsi:type="dcterms:W3CDTF">2022-11-25T02:58:00Z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