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266A"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33964B35" wp14:editId="27CFFEB5">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420736"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69E8A073" w14:textId="77777777" w:rsidR="00656C9D" w:rsidRPr="00F94F2C" w:rsidRDefault="00656C9D" w:rsidP="00656C9D">
      <w:pPr>
        <w:tabs>
          <w:tab w:val="left" w:pos="9026"/>
        </w:tabs>
        <w:spacing w:before="2"/>
        <w:ind w:right="-46"/>
        <w:rPr>
          <w:rFonts w:ascii="Arial" w:hAnsi="Arial" w:cs="Arial"/>
          <w:b/>
        </w:rPr>
      </w:pPr>
    </w:p>
    <w:p w14:paraId="1C6043DB" w14:textId="77777777" w:rsidR="00656C9D" w:rsidRPr="00F94F2C" w:rsidRDefault="00212473" w:rsidP="00656C9D">
      <w:pPr>
        <w:tabs>
          <w:tab w:val="left" w:pos="9026"/>
        </w:tabs>
        <w:spacing w:before="2"/>
        <w:ind w:right="-46"/>
        <w:rPr>
          <w:rFonts w:ascii="Arial" w:hAnsi="Arial" w:cs="Arial"/>
        </w:rPr>
      </w:pPr>
      <w:r>
        <w:rPr>
          <w:rFonts w:ascii="Arial" w:hAnsi="Arial" w:cs="Arial"/>
        </w:rPr>
        <w:t>Council</w:t>
      </w:r>
    </w:p>
    <w:p w14:paraId="3417E780" w14:textId="77777777" w:rsidR="00151611" w:rsidRPr="00F94F2C" w:rsidRDefault="00151611" w:rsidP="00656C9D">
      <w:pPr>
        <w:tabs>
          <w:tab w:val="left" w:pos="9026"/>
        </w:tabs>
        <w:spacing w:before="2"/>
        <w:ind w:right="-46"/>
        <w:rPr>
          <w:rFonts w:ascii="Arial" w:hAnsi="Arial" w:cs="Arial"/>
        </w:rPr>
      </w:pPr>
    </w:p>
    <w:p w14:paraId="1418E328" w14:textId="77777777" w:rsidR="00151611" w:rsidRPr="00F94F2C" w:rsidRDefault="00151611" w:rsidP="00656C9D">
      <w:pPr>
        <w:tabs>
          <w:tab w:val="left" w:pos="9026"/>
        </w:tabs>
        <w:spacing w:before="2"/>
        <w:ind w:right="-46"/>
        <w:rPr>
          <w:rFonts w:ascii="Arial" w:hAnsi="Arial" w:cs="Arial"/>
        </w:rPr>
      </w:pPr>
    </w:p>
    <w:p w14:paraId="19CF3E37" w14:textId="77777777" w:rsidR="00656C9D" w:rsidRPr="00F94F2C" w:rsidRDefault="00FA1FA0"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3E927ECD"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716B200C" wp14:editId="35B95256">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3189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15174881" w14:textId="77777777" w:rsidR="00F829D1" w:rsidRDefault="005A053E" w:rsidP="005C73B3">
      <w:pPr>
        <w:tabs>
          <w:tab w:val="left" w:pos="9026"/>
        </w:tabs>
        <w:spacing w:before="2"/>
        <w:ind w:right="-46"/>
        <w:rPr>
          <w:rFonts w:ascii="Arial" w:hAnsi="Arial" w:cs="Arial"/>
        </w:rPr>
      </w:pPr>
      <w:r>
        <w:rPr>
          <w:rFonts w:ascii="Arial" w:hAnsi="Arial" w:cs="Arial"/>
        </w:rPr>
        <w:t>The purpose of this policy is to guide</w:t>
      </w:r>
      <w:r w:rsidR="00E17382">
        <w:rPr>
          <w:rFonts w:ascii="Arial" w:hAnsi="Arial" w:cs="Arial"/>
        </w:rPr>
        <w:t xml:space="preserve"> the </w:t>
      </w:r>
      <w:r>
        <w:rPr>
          <w:rFonts w:ascii="Arial" w:hAnsi="Arial" w:cs="Arial"/>
        </w:rPr>
        <w:t xml:space="preserve">City </w:t>
      </w:r>
      <w:r w:rsidR="00DC5DC2">
        <w:rPr>
          <w:rFonts w:ascii="Arial" w:hAnsi="Arial" w:cs="Arial"/>
        </w:rPr>
        <w:t>in providing assistance to</w:t>
      </w:r>
      <w:r>
        <w:rPr>
          <w:rFonts w:ascii="Arial" w:hAnsi="Arial" w:cs="Arial"/>
        </w:rPr>
        <w:t xml:space="preserve"> vulnerable people</w:t>
      </w:r>
      <w:r w:rsidR="00DC5DC2">
        <w:rPr>
          <w:rFonts w:ascii="Arial" w:hAnsi="Arial" w:cs="Arial"/>
        </w:rPr>
        <w:t xml:space="preserve"> (who are owner occupiers)</w:t>
      </w:r>
      <w:r>
        <w:rPr>
          <w:rFonts w:ascii="Arial" w:hAnsi="Arial" w:cs="Arial"/>
        </w:rPr>
        <w:t xml:space="preserve"> who live in squalid conditions</w:t>
      </w:r>
      <w:r w:rsidR="00F829D1">
        <w:rPr>
          <w:rFonts w:ascii="Arial" w:hAnsi="Arial" w:cs="Arial"/>
        </w:rPr>
        <w:t>. Poor living conditions may</w:t>
      </w:r>
      <w:r>
        <w:rPr>
          <w:rFonts w:ascii="Arial" w:hAnsi="Arial" w:cs="Arial"/>
        </w:rPr>
        <w:t xml:space="preserve"> </w:t>
      </w:r>
      <w:r w:rsidR="00F829D1">
        <w:rPr>
          <w:rFonts w:ascii="Arial" w:hAnsi="Arial" w:cs="Arial"/>
        </w:rPr>
        <w:t>pose</w:t>
      </w:r>
      <w:r>
        <w:rPr>
          <w:rFonts w:ascii="Arial" w:hAnsi="Arial" w:cs="Arial"/>
        </w:rPr>
        <w:t xml:space="preserve"> a risk to </w:t>
      </w:r>
      <w:r w:rsidR="00E17382">
        <w:rPr>
          <w:rFonts w:ascii="Arial" w:hAnsi="Arial" w:cs="Arial"/>
        </w:rPr>
        <w:t xml:space="preserve">their </w:t>
      </w:r>
      <w:r>
        <w:rPr>
          <w:rFonts w:ascii="Arial" w:hAnsi="Arial" w:cs="Arial"/>
        </w:rPr>
        <w:t>health and wellbeing</w:t>
      </w:r>
      <w:r w:rsidR="00DC5DC2">
        <w:rPr>
          <w:rFonts w:ascii="Arial" w:hAnsi="Arial" w:cs="Arial"/>
        </w:rPr>
        <w:t xml:space="preserve"> and </w:t>
      </w:r>
      <w:r w:rsidR="00F829D1">
        <w:rPr>
          <w:rFonts w:ascii="Arial" w:hAnsi="Arial" w:cs="Arial"/>
        </w:rPr>
        <w:t>likely</w:t>
      </w:r>
      <w:r w:rsidR="00DC5DC2">
        <w:rPr>
          <w:rFonts w:ascii="Arial" w:hAnsi="Arial" w:cs="Arial"/>
        </w:rPr>
        <w:t xml:space="preserve"> </w:t>
      </w:r>
      <w:r w:rsidR="00F829D1">
        <w:rPr>
          <w:rFonts w:ascii="Arial" w:hAnsi="Arial" w:cs="Arial"/>
        </w:rPr>
        <w:t xml:space="preserve">be </w:t>
      </w:r>
      <w:r w:rsidR="00DC5DC2">
        <w:rPr>
          <w:rFonts w:ascii="Arial" w:hAnsi="Arial" w:cs="Arial"/>
        </w:rPr>
        <w:t>causing a nuisance to neighbours</w:t>
      </w:r>
      <w:r>
        <w:rPr>
          <w:rFonts w:ascii="Arial" w:hAnsi="Arial" w:cs="Arial"/>
        </w:rPr>
        <w:t xml:space="preserve">.  </w:t>
      </w:r>
    </w:p>
    <w:p w14:paraId="39454206" w14:textId="77777777" w:rsidR="00F829D1" w:rsidRDefault="00F829D1" w:rsidP="005C73B3">
      <w:pPr>
        <w:tabs>
          <w:tab w:val="left" w:pos="9026"/>
        </w:tabs>
        <w:spacing w:before="2"/>
        <w:ind w:right="-46"/>
        <w:rPr>
          <w:rFonts w:ascii="Arial" w:hAnsi="Arial" w:cs="Arial"/>
        </w:rPr>
      </w:pPr>
    </w:p>
    <w:p w14:paraId="3102ACC2" w14:textId="77777777" w:rsidR="00151611" w:rsidRDefault="005A053E" w:rsidP="005C73B3">
      <w:pPr>
        <w:tabs>
          <w:tab w:val="left" w:pos="9026"/>
        </w:tabs>
        <w:spacing w:before="2"/>
        <w:ind w:right="-46"/>
        <w:rPr>
          <w:rFonts w:ascii="Arial" w:hAnsi="Arial" w:cs="Arial"/>
        </w:rPr>
      </w:pPr>
      <w:r>
        <w:rPr>
          <w:rFonts w:ascii="Arial" w:hAnsi="Arial" w:cs="Arial"/>
        </w:rPr>
        <w:t>The policy proposes taking a compassionate approach to dealing with individuals who are frail aged</w:t>
      </w:r>
      <w:r w:rsidR="00E17382">
        <w:rPr>
          <w:rFonts w:ascii="Arial" w:hAnsi="Arial" w:cs="Arial"/>
        </w:rPr>
        <w:t xml:space="preserve">, or </w:t>
      </w:r>
      <w:r>
        <w:rPr>
          <w:rFonts w:ascii="Arial" w:hAnsi="Arial" w:cs="Arial"/>
        </w:rPr>
        <w:t>having a functional di</w:t>
      </w:r>
      <w:r w:rsidR="00E17382">
        <w:rPr>
          <w:rFonts w:ascii="Arial" w:hAnsi="Arial" w:cs="Arial"/>
        </w:rPr>
        <w:t xml:space="preserve">sability or do not have the capacity to arrange clean-up of their premises to </w:t>
      </w:r>
      <w:r w:rsidR="00EE4ECC">
        <w:rPr>
          <w:rFonts w:ascii="Arial" w:hAnsi="Arial" w:cs="Arial"/>
        </w:rPr>
        <w:t>an acceptable</w:t>
      </w:r>
      <w:r w:rsidR="00E17382">
        <w:rPr>
          <w:rFonts w:ascii="Arial" w:hAnsi="Arial" w:cs="Arial"/>
        </w:rPr>
        <w:t xml:space="preserve"> standard.</w:t>
      </w:r>
    </w:p>
    <w:p w14:paraId="4EAA5A61" w14:textId="77777777" w:rsidR="00DC5DC2" w:rsidRDefault="00DC5DC2" w:rsidP="005C73B3">
      <w:pPr>
        <w:tabs>
          <w:tab w:val="left" w:pos="9026"/>
        </w:tabs>
        <w:spacing w:before="2"/>
        <w:ind w:right="-46"/>
        <w:rPr>
          <w:rFonts w:ascii="Arial" w:hAnsi="Arial" w:cs="Arial"/>
        </w:rPr>
      </w:pPr>
    </w:p>
    <w:p w14:paraId="785A1526" w14:textId="77777777" w:rsidR="00DC5DC2" w:rsidRPr="00F94F2C" w:rsidRDefault="00DC5DC2" w:rsidP="00151611">
      <w:pPr>
        <w:tabs>
          <w:tab w:val="left" w:pos="9026"/>
        </w:tabs>
        <w:spacing w:before="2"/>
        <w:ind w:right="-46"/>
        <w:rPr>
          <w:rFonts w:ascii="Arial" w:hAnsi="Arial" w:cs="Arial"/>
        </w:rPr>
      </w:pPr>
      <w:r>
        <w:rPr>
          <w:rFonts w:ascii="Arial" w:hAnsi="Arial" w:cs="Arial"/>
        </w:rPr>
        <w:t xml:space="preserve">The cost of clean-up would be provided by the City (if required) and recouped through placing a charge on the property </w:t>
      </w:r>
      <w:r w:rsidR="00040AA4">
        <w:rPr>
          <w:rFonts w:ascii="Arial" w:hAnsi="Arial" w:cs="Arial"/>
        </w:rPr>
        <w:t>through the provisions of the Public Health Act 2016. These costs would be recouped when the property is sold.</w:t>
      </w:r>
    </w:p>
    <w:p w14:paraId="32EA51CF" w14:textId="77777777" w:rsidR="001D08BD" w:rsidRPr="00F94F2C" w:rsidRDefault="001D08BD" w:rsidP="00151611">
      <w:pPr>
        <w:tabs>
          <w:tab w:val="left" w:pos="9026"/>
        </w:tabs>
        <w:spacing w:before="2"/>
        <w:ind w:right="-46"/>
        <w:rPr>
          <w:rFonts w:ascii="Arial" w:hAnsi="Arial" w:cs="Arial"/>
        </w:rPr>
      </w:pPr>
    </w:p>
    <w:p w14:paraId="6251478A" w14:textId="77777777" w:rsidR="00151611" w:rsidRPr="00F94F2C" w:rsidRDefault="00151611" w:rsidP="00151611">
      <w:pPr>
        <w:tabs>
          <w:tab w:val="left" w:pos="9026"/>
        </w:tabs>
        <w:spacing w:before="2"/>
        <w:ind w:right="-46"/>
        <w:rPr>
          <w:rFonts w:ascii="Arial" w:hAnsi="Arial" w:cs="Arial"/>
        </w:rPr>
      </w:pPr>
    </w:p>
    <w:p w14:paraId="63327510" w14:textId="77777777" w:rsidR="00656C9D" w:rsidRPr="00F94F2C" w:rsidRDefault="00FA1FA0"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21C1D14A" w14:textId="77777777" w:rsidR="00EE4ECC" w:rsidRDefault="009A0A01" w:rsidP="00EE4ECC">
      <w:pPr>
        <w:rPr>
          <w:rFonts w:ascii="Arial" w:hAnsi="Arial" w:cs="Arial"/>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21988F53" wp14:editId="74BF3412">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3D6325"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14:paraId="2386BBA2" w14:textId="77777777" w:rsidR="00EE4ECC" w:rsidRPr="00EE4ECC" w:rsidRDefault="00F829D1" w:rsidP="005C73B3">
      <w:pPr>
        <w:rPr>
          <w:rFonts w:ascii="Arial" w:hAnsi="Arial" w:cs="Arial"/>
        </w:rPr>
      </w:pPr>
      <w:r>
        <w:rPr>
          <w:rFonts w:ascii="Arial" w:hAnsi="Arial" w:cs="Arial"/>
        </w:rPr>
        <w:t>This policy specifies</w:t>
      </w:r>
      <w:r w:rsidR="00EE4ECC" w:rsidRPr="00EE4ECC">
        <w:rPr>
          <w:rFonts w:ascii="Arial" w:hAnsi="Arial" w:cs="Arial"/>
        </w:rPr>
        <w:t xml:space="preserve"> </w:t>
      </w:r>
      <w:r>
        <w:rPr>
          <w:rFonts w:ascii="Arial" w:hAnsi="Arial" w:cs="Arial"/>
        </w:rPr>
        <w:t>how</w:t>
      </w:r>
      <w:r w:rsidR="00EE4ECC" w:rsidRPr="00EE4ECC">
        <w:rPr>
          <w:rFonts w:ascii="Arial" w:hAnsi="Arial" w:cs="Arial"/>
        </w:rPr>
        <w:t xml:space="preserve"> the City will determine that an owner is vulnerable and </w:t>
      </w:r>
      <w:r>
        <w:rPr>
          <w:rFonts w:ascii="Arial" w:hAnsi="Arial" w:cs="Arial"/>
        </w:rPr>
        <w:t>requiring assistance. It outlines the process</w:t>
      </w:r>
      <w:r w:rsidR="00EE4ECC" w:rsidRPr="00EE4ECC">
        <w:rPr>
          <w:rFonts w:ascii="Arial" w:hAnsi="Arial" w:cs="Arial"/>
        </w:rPr>
        <w:t xml:space="preserve"> the City will undertake </w:t>
      </w:r>
      <w:r>
        <w:rPr>
          <w:rFonts w:ascii="Arial" w:hAnsi="Arial" w:cs="Arial"/>
        </w:rPr>
        <w:t xml:space="preserve">in </w:t>
      </w:r>
      <w:r w:rsidR="00EE4ECC" w:rsidRPr="00EE4ECC">
        <w:rPr>
          <w:rFonts w:ascii="Arial" w:hAnsi="Arial" w:cs="Arial"/>
        </w:rPr>
        <w:t xml:space="preserve">the cleaning and/or removal of material </w:t>
      </w:r>
      <w:r>
        <w:rPr>
          <w:rFonts w:ascii="Arial" w:hAnsi="Arial" w:cs="Arial"/>
        </w:rPr>
        <w:t xml:space="preserve">and repair of fixtures </w:t>
      </w:r>
      <w:r w:rsidR="00EE4ECC" w:rsidRPr="00EE4ECC">
        <w:rPr>
          <w:rFonts w:ascii="Arial" w:hAnsi="Arial" w:cs="Arial"/>
        </w:rPr>
        <w:t xml:space="preserve">so that </w:t>
      </w:r>
      <w:r w:rsidR="007A2E7D">
        <w:rPr>
          <w:rFonts w:ascii="Arial" w:hAnsi="Arial" w:cs="Arial"/>
        </w:rPr>
        <w:t>the</w:t>
      </w:r>
      <w:r w:rsidR="00EE4ECC" w:rsidRPr="00EE4ECC">
        <w:rPr>
          <w:rFonts w:ascii="Arial" w:hAnsi="Arial" w:cs="Arial"/>
        </w:rPr>
        <w:t xml:space="preserve"> dwelling and related surrounds are fit for human habitation.</w:t>
      </w:r>
    </w:p>
    <w:p w14:paraId="02D8EEBA" w14:textId="77777777" w:rsidR="00EE4ECC" w:rsidRPr="00EE4ECC" w:rsidRDefault="00EE4ECC" w:rsidP="005C73B3">
      <w:pPr>
        <w:rPr>
          <w:rFonts w:ascii="Arial" w:hAnsi="Arial" w:cs="Arial"/>
        </w:rPr>
      </w:pPr>
    </w:p>
    <w:p w14:paraId="574B03E0" w14:textId="77777777" w:rsidR="00EE4ECC" w:rsidRPr="005C73B3" w:rsidRDefault="00FA4FF2" w:rsidP="005C73B3">
      <w:pPr>
        <w:pStyle w:val="ListParagraph"/>
        <w:numPr>
          <w:ilvl w:val="0"/>
          <w:numId w:val="10"/>
        </w:numPr>
        <w:tabs>
          <w:tab w:val="left" w:pos="720"/>
        </w:tabs>
        <w:ind w:left="720" w:hanging="720"/>
        <w:rPr>
          <w:rFonts w:ascii="Arial" w:hAnsi="Arial" w:cs="Arial"/>
        </w:rPr>
      </w:pPr>
      <w:r w:rsidRPr="005C73B3">
        <w:rPr>
          <w:rFonts w:ascii="Arial" w:hAnsi="Arial" w:cs="Arial"/>
        </w:rPr>
        <w:t>Process</w:t>
      </w:r>
      <w:r w:rsidR="007A2E7D" w:rsidRPr="005C73B3">
        <w:rPr>
          <w:rFonts w:ascii="Arial" w:hAnsi="Arial" w:cs="Arial"/>
        </w:rPr>
        <w:t xml:space="preserve"> to be followed</w:t>
      </w:r>
      <w:r w:rsidRPr="005C73B3">
        <w:rPr>
          <w:rFonts w:ascii="Arial" w:hAnsi="Arial" w:cs="Arial"/>
        </w:rPr>
        <w:t>:</w:t>
      </w:r>
    </w:p>
    <w:p w14:paraId="73E08BF4" w14:textId="77777777" w:rsidR="00EE4ECC" w:rsidRPr="005C73B3" w:rsidRDefault="00EE4ECC" w:rsidP="005C73B3">
      <w:pPr>
        <w:rPr>
          <w:rFonts w:ascii="Arial" w:hAnsi="Arial" w:cs="Arial"/>
          <w:sz w:val="20"/>
        </w:rPr>
      </w:pPr>
    </w:p>
    <w:p w14:paraId="08660FD9"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 xml:space="preserve">On referral of a complaint about a premises and where the Environmental Health Officer identifies that the occupant may have a disability or be frail aged, the City’s Disability Access and Inclusion Officer (DAIO) will undertake an initial assessment. If the result of this assessment is that the resident is unable to bring the premises up to a suitable standard without support, then the DAIO will refer to appropriate agencies including the City of Cockburn’s Family Support services, Financial </w:t>
      </w:r>
      <w:r w:rsidR="005C73B3" w:rsidRPr="00EE4ECC">
        <w:rPr>
          <w:rFonts w:ascii="Arial" w:hAnsi="Arial" w:cs="Arial"/>
        </w:rPr>
        <w:t>Counselling</w:t>
      </w:r>
      <w:r w:rsidRPr="00EE4ECC">
        <w:rPr>
          <w:rFonts w:ascii="Arial" w:hAnsi="Arial" w:cs="Arial"/>
        </w:rPr>
        <w:t xml:space="preserve"> services, and Home and Community Care services.</w:t>
      </w:r>
    </w:p>
    <w:p w14:paraId="4E7AA337" w14:textId="77777777" w:rsidR="00EE4ECC" w:rsidRPr="005C73B3" w:rsidRDefault="00EE4ECC" w:rsidP="005C73B3">
      <w:pPr>
        <w:ind w:left="1080" w:hanging="720"/>
        <w:rPr>
          <w:rFonts w:ascii="Arial" w:hAnsi="Arial" w:cs="Arial"/>
          <w:sz w:val="20"/>
        </w:rPr>
      </w:pPr>
    </w:p>
    <w:p w14:paraId="51D45556"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 xml:space="preserve">The Environmental Health Officer will obtain an estimate of the costs, E.g. quote for cleaners to clean a house or property. Each case will be assessed by the Manager of Environmental Health and based upon a two tiered approach. </w:t>
      </w:r>
    </w:p>
    <w:p w14:paraId="59DAB4B5" w14:textId="77777777" w:rsidR="00EE4ECC" w:rsidRPr="005C73B3" w:rsidRDefault="00EE4ECC" w:rsidP="005C73B3">
      <w:pPr>
        <w:ind w:left="1080" w:hanging="720"/>
        <w:rPr>
          <w:rFonts w:ascii="Arial" w:hAnsi="Arial" w:cs="Arial"/>
          <w:sz w:val="20"/>
        </w:rPr>
      </w:pPr>
    </w:p>
    <w:p w14:paraId="3653763F"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 xml:space="preserve">Tier 1 – If the cost of the </w:t>
      </w:r>
      <w:r w:rsidR="00FA4FF2" w:rsidRPr="00EE4ECC">
        <w:rPr>
          <w:rFonts w:ascii="Arial" w:hAnsi="Arial" w:cs="Arial"/>
        </w:rPr>
        <w:t>clean-up</w:t>
      </w:r>
      <w:r w:rsidRPr="00EE4ECC">
        <w:rPr>
          <w:rFonts w:ascii="Arial" w:hAnsi="Arial" w:cs="Arial"/>
        </w:rPr>
        <w:t xml:space="preserve"> is predicted to be minor (less than $2,500) then the funds be taken out of the Community Services emergency fund at the discretion of the Manager Community Services. </w:t>
      </w:r>
    </w:p>
    <w:p w14:paraId="3AEC1758" w14:textId="77777777" w:rsidR="00EE4ECC" w:rsidRPr="005C73B3" w:rsidRDefault="00EE4ECC" w:rsidP="005C73B3">
      <w:pPr>
        <w:ind w:left="1080" w:hanging="720"/>
        <w:rPr>
          <w:rFonts w:ascii="Arial" w:hAnsi="Arial" w:cs="Arial"/>
          <w:sz w:val="20"/>
        </w:rPr>
      </w:pPr>
    </w:p>
    <w:p w14:paraId="0E485740"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 xml:space="preserve">Tier 2 – If the predicted costs are greater than $2500 then </w:t>
      </w:r>
      <w:r w:rsidR="00FA4FF2">
        <w:rPr>
          <w:rFonts w:ascii="Arial" w:hAnsi="Arial" w:cs="Arial"/>
        </w:rPr>
        <w:t xml:space="preserve">Public </w:t>
      </w:r>
      <w:r w:rsidRPr="00EE4ECC">
        <w:rPr>
          <w:rFonts w:ascii="Arial" w:hAnsi="Arial" w:cs="Arial"/>
        </w:rPr>
        <w:t>Health Act Notices will be served and the costs will be placed as a charge on the property title.</w:t>
      </w:r>
    </w:p>
    <w:p w14:paraId="0847E248" w14:textId="77777777" w:rsidR="00EE4ECC" w:rsidRPr="00EE4ECC" w:rsidRDefault="00FA4FF2" w:rsidP="005C73B3">
      <w:pPr>
        <w:pStyle w:val="ListParagraph"/>
        <w:numPr>
          <w:ilvl w:val="0"/>
          <w:numId w:val="11"/>
        </w:numPr>
        <w:ind w:left="1080"/>
        <w:rPr>
          <w:rFonts w:ascii="Arial" w:hAnsi="Arial" w:cs="Arial"/>
        </w:rPr>
      </w:pPr>
      <w:r>
        <w:rPr>
          <w:rFonts w:ascii="Arial" w:hAnsi="Arial" w:cs="Arial"/>
        </w:rPr>
        <w:lastRenderedPageBreak/>
        <w:t>The Public H</w:t>
      </w:r>
      <w:r w:rsidR="00EE4ECC" w:rsidRPr="00EE4ECC">
        <w:rPr>
          <w:rFonts w:ascii="Arial" w:hAnsi="Arial" w:cs="Arial"/>
        </w:rPr>
        <w:t xml:space="preserve">ealth </w:t>
      </w:r>
      <w:r w:rsidR="00DE3902">
        <w:rPr>
          <w:rFonts w:ascii="Arial" w:hAnsi="Arial" w:cs="Arial"/>
        </w:rPr>
        <w:t xml:space="preserve">Act </w:t>
      </w:r>
      <w:r w:rsidR="00EE4ECC" w:rsidRPr="00EE4ECC">
        <w:rPr>
          <w:rFonts w:ascii="Arial" w:hAnsi="Arial" w:cs="Arial"/>
        </w:rPr>
        <w:t xml:space="preserve">notice will require that the cost of the </w:t>
      </w:r>
      <w:r w:rsidRPr="00EE4ECC">
        <w:rPr>
          <w:rFonts w:ascii="Arial" w:hAnsi="Arial" w:cs="Arial"/>
        </w:rPr>
        <w:t>clean-up</w:t>
      </w:r>
      <w:r w:rsidR="00EE4ECC" w:rsidRPr="00EE4ECC">
        <w:rPr>
          <w:rFonts w:ascii="Arial" w:hAnsi="Arial" w:cs="Arial"/>
        </w:rPr>
        <w:t xml:space="preserve"> be re-paid over a period of time or the cost placed on the property requiring funds for the </w:t>
      </w:r>
      <w:r w:rsidRPr="00EE4ECC">
        <w:rPr>
          <w:rFonts w:ascii="Arial" w:hAnsi="Arial" w:cs="Arial"/>
        </w:rPr>
        <w:t>clean-up</w:t>
      </w:r>
      <w:r w:rsidR="00EE4ECC" w:rsidRPr="00EE4ECC">
        <w:rPr>
          <w:rFonts w:ascii="Arial" w:hAnsi="Arial" w:cs="Arial"/>
        </w:rPr>
        <w:t xml:space="preserve"> cost to be returned to the City at the point of sale of the property. If necessary, and if viable, Financial Counselling Service will be arranged to develop a re-payment plan suited to the individual’s needs.</w:t>
      </w:r>
    </w:p>
    <w:p w14:paraId="48C0A831" w14:textId="77777777" w:rsidR="00EE4ECC" w:rsidRPr="005C73B3" w:rsidRDefault="00EE4ECC" w:rsidP="005C73B3">
      <w:pPr>
        <w:ind w:left="720"/>
        <w:rPr>
          <w:rFonts w:ascii="Arial" w:hAnsi="Arial" w:cs="Arial"/>
          <w:sz w:val="20"/>
        </w:rPr>
      </w:pPr>
    </w:p>
    <w:p w14:paraId="220136F2"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If the resident requires ongoing support the Disability Access and Inclusion Officer will refer the resident for an assessment for Home and Community Care Support services</w:t>
      </w:r>
    </w:p>
    <w:p w14:paraId="23A59EE8" w14:textId="77777777" w:rsidR="00EE4ECC" w:rsidRPr="005C73B3" w:rsidRDefault="00EE4ECC" w:rsidP="005C73B3">
      <w:pPr>
        <w:ind w:left="720"/>
        <w:rPr>
          <w:rFonts w:ascii="Arial" w:hAnsi="Arial" w:cs="Arial"/>
          <w:sz w:val="20"/>
        </w:rPr>
      </w:pPr>
    </w:p>
    <w:p w14:paraId="23CDFE94"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Each premise shall be inspected annually by an Environmental Health officer to ensure that the premises are maintained in an acceptable condition.</w:t>
      </w:r>
    </w:p>
    <w:p w14:paraId="30AC3481" w14:textId="77777777" w:rsidR="00EE4ECC" w:rsidRPr="005C73B3" w:rsidRDefault="00EE4ECC" w:rsidP="005C73B3">
      <w:pPr>
        <w:ind w:left="720"/>
        <w:rPr>
          <w:rFonts w:ascii="Arial" w:hAnsi="Arial" w:cs="Arial"/>
          <w:sz w:val="20"/>
        </w:rPr>
      </w:pPr>
    </w:p>
    <w:p w14:paraId="5967104E" w14:textId="77777777" w:rsidR="00EE4ECC" w:rsidRPr="00EE4ECC" w:rsidRDefault="00EE4ECC" w:rsidP="005C73B3">
      <w:pPr>
        <w:pStyle w:val="ListParagraph"/>
        <w:numPr>
          <w:ilvl w:val="0"/>
          <w:numId w:val="11"/>
        </w:numPr>
        <w:ind w:left="1080"/>
        <w:rPr>
          <w:rFonts w:ascii="Arial" w:hAnsi="Arial" w:cs="Arial"/>
        </w:rPr>
      </w:pPr>
      <w:r w:rsidRPr="00EE4ECC">
        <w:rPr>
          <w:rFonts w:ascii="Arial" w:hAnsi="Arial" w:cs="Arial"/>
        </w:rPr>
        <w:t>The maximum cost per individual premises shall not exceed $15,000 without the approval of the Chief Executive Officer.</w:t>
      </w:r>
    </w:p>
    <w:p w14:paraId="61E95933" w14:textId="77777777" w:rsidR="00151611" w:rsidRPr="00F94F2C" w:rsidRDefault="00151611" w:rsidP="005C73B3">
      <w:pPr>
        <w:tabs>
          <w:tab w:val="left" w:pos="9026"/>
        </w:tabs>
        <w:spacing w:before="2"/>
        <w:ind w:right="-46"/>
        <w:rPr>
          <w:rFonts w:ascii="Arial" w:hAnsi="Arial" w:cs="Arial"/>
        </w:rPr>
      </w:pPr>
    </w:p>
    <w:p w14:paraId="500FE3B3" w14:textId="77777777" w:rsidR="00A55973" w:rsidRPr="005C73B3" w:rsidRDefault="00A55973" w:rsidP="005C73B3">
      <w:pPr>
        <w:pStyle w:val="ListParagraph"/>
        <w:numPr>
          <w:ilvl w:val="0"/>
          <w:numId w:val="10"/>
        </w:numPr>
        <w:tabs>
          <w:tab w:val="left" w:pos="720"/>
        </w:tabs>
        <w:ind w:left="720" w:hanging="720"/>
        <w:rPr>
          <w:rFonts w:ascii="Arial" w:hAnsi="Arial" w:cs="Arial"/>
        </w:rPr>
      </w:pPr>
      <w:r w:rsidRPr="005C73B3">
        <w:rPr>
          <w:rFonts w:ascii="Arial" w:hAnsi="Arial" w:cs="Arial"/>
        </w:rPr>
        <w:t>Definitions:</w:t>
      </w:r>
    </w:p>
    <w:p w14:paraId="0C9F32A1" w14:textId="77777777" w:rsidR="00A55973" w:rsidRPr="00A55973" w:rsidRDefault="00A55973" w:rsidP="005C73B3">
      <w:pPr>
        <w:tabs>
          <w:tab w:val="left" w:pos="795"/>
        </w:tabs>
        <w:suppressAutoHyphens/>
        <w:ind w:left="483" w:hanging="483"/>
        <w:rPr>
          <w:rFonts w:ascii="Arial" w:hAnsi="Arial" w:cs="Arial"/>
        </w:rPr>
      </w:pPr>
    </w:p>
    <w:p w14:paraId="526613D8" w14:textId="77777777" w:rsidR="00A55973" w:rsidRPr="00A55973" w:rsidRDefault="00A55973" w:rsidP="005C73B3">
      <w:pPr>
        <w:tabs>
          <w:tab w:val="left" w:pos="795"/>
        </w:tabs>
        <w:suppressAutoHyphens/>
        <w:ind w:left="1203" w:hanging="483"/>
        <w:rPr>
          <w:rFonts w:ascii="Arial" w:hAnsi="Arial" w:cs="Arial"/>
        </w:rPr>
      </w:pPr>
      <w:r w:rsidRPr="00A55973">
        <w:rPr>
          <w:rFonts w:ascii="Arial" w:hAnsi="Arial" w:cs="Arial"/>
        </w:rPr>
        <w:t>1.</w:t>
      </w:r>
      <w:r w:rsidRPr="00A55973">
        <w:rPr>
          <w:rFonts w:ascii="Arial" w:hAnsi="Arial" w:cs="Arial"/>
        </w:rPr>
        <w:tab/>
        <w:t>Equity</w:t>
      </w:r>
    </w:p>
    <w:p w14:paraId="311418A4" w14:textId="77777777" w:rsidR="00A55973" w:rsidRPr="00A55973" w:rsidRDefault="00A55973" w:rsidP="005C73B3">
      <w:pPr>
        <w:tabs>
          <w:tab w:val="left" w:pos="572"/>
        </w:tabs>
        <w:suppressAutoHyphens/>
        <w:ind w:left="1203"/>
        <w:rPr>
          <w:rFonts w:ascii="Arial" w:hAnsi="Arial" w:cs="Arial"/>
        </w:rPr>
      </w:pPr>
      <w:r w:rsidRPr="00A55973">
        <w:rPr>
          <w:rFonts w:ascii="Arial" w:hAnsi="Arial" w:cs="Arial"/>
        </w:rPr>
        <w:t>Fair distribution of resources and opportunities according to need and access to decision-making processes.</w:t>
      </w:r>
    </w:p>
    <w:p w14:paraId="6B0216E1" w14:textId="77777777" w:rsidR="00A55973" w:rsidRPr="005C73B3" w:rsidRDefault="00A55973" w:rsidP="005C73B3">
      <w:pPr>
        <w:suppressAutoHyphens/>
        <w:ind w:left="2160" w:hanging="1440"/>
        <w:rPr>
          <w:rFonts w:ascii="Arial" w:hAnsi="Arial" w:cs="Arial"/>
          <w:sz w:val="20"/>
        </w:rPr>
      </w:pPr>
    </w:p>
    <w:p w14:paraId="4A34A4A2" w14:textId="77777777" w:rsidR="00A55973" w:rsidRPr="00A55973" w:rsidRDefault="00A55973" w:rsidP="005C73B3">
      <w:pPr>
        <w:tabs>
          <w:tab w:val="left" w:pos="795"/>
        </w:tabs>
        <w:suppressAutoHyphens/>
        <w:ind w:left="1203" w:hanging="483"/>
        <w:rPr>
          <w:rFonts w:ascii="Arial" w:hAnsi="Arial" w:cs="Arial"/>
        </w:rPr>
      </w:pPr>
      <w:r w:rsidRPr="00A55973">
        <w:rPr>
          <w:rFonts w:ascii="Arial" w:hAnsi="Arial" w:cs="Arial"/>
        </w:rPr>
        <w:t>2.</w:t>
      </w:r>
      <w:r w:rsidRPr="00A55973">
        <w:rPr>
          <w:rFonts w:ascii="Arial" w:hAnsi="Arial" w:cs="Arial"/>
        </w:rPr>
        <w:tab/>
        <w:t>Disability Access and Inclusion Plan (DAIP)</w:t>
      </w:r>
    </w:p>
    <w:p w14:paraId="609CAE18" w14:textId="77777777" w:rsidR="00A55973" w:rsidRPr="00A55973" w:rsidRDefault="00A55973" w:rsidP="005C73B3">
      <w:pPr>
        <w:suppressAutoHyphens/>
        <w:ind w:left="1203"/>
        <w:rPr>
          <w:rFonts w:ascii="Arial" w:hAnsi="Arial" w:cs="Arial"/>
        </w:rPr>
      </w:pPr>
      <w:r w:rsidRPr="00A55973">
        <w:rPr>
          <w:rFonts w:ascii="Arial" w:hAnsi="Arial" w:cs="Arial"/>
        </w:rPr>
        <w:t xml:space="preserve">The Disability Services Act 1993 (amended 2004) requires that all public authorities develop and implement a DAIP.  The City of </w:t>
      </w:r>
      <w:smartTag w:uri="urn:schemas-microsoft-com:office:smarttags" w:element="place">
        <w:smartTag w:uri="urn:schemas-microsoft-com:office:smarttags" w:element="City">
          <w:r w:rsidRPr="00A55973">
            <w:rPr>
              <w:rFonts w:ascii="Arial" w:hAnsi="Arial" w:cs="Arial"/>
            </w:rPr>
            <w:t>Cockburn</w:t>
          </w:r>
        </w:smartTag>
      </w:smartTag>
      <w:r w:rsidRPr="00A55973">
        <w:rPr>
          <w:rFonts w:ascii="Arial" w:hAnsi="Arial" w:cs="Arial"/>
        </w:rPr>
        <w:t xml:space="preserve">’s DAIP, available at </w:t>
      </w:r>
      <w:hyperlink r:id="rId8" w:history="1">
        <w:r w:rsidRPr="00DE3902">
          <w:rPr>
            <w:rFonts w:ascii="Arial" w:hAnsi="Arial" w:cs="Arial"/>
          </w:rPr>
          <w:t>http://www.cockburn.wa.gov.au</w:t>
        </w:r>
      </w:hyperlink>
      <w:r w:rsidRPr="00DE3902">
        <w:rPr>
          <w:rFonts w:ascii="Arial" w:hAnsi="Arial" w:cs="Arial"/>
        </w:rPr>
        <w:t>,</w:t>
      </w:r>
      <w:r w:rsidRPr="00A55973">
        <w:rPr>
          <w:rFonts w:ascii="Arial" w:hAnsi="Arial" w:cs="Arial"/>
        </w:rPr>
        <w:t xml:space="preserve"> outlines how the City will work to enable persons with disabilities to have equal access to its facilities and services.</w:t>
      </w:r>
    </w:p>
    <w:p w14:paraId="75CFC75A" w14:textId="77777777" w:rsidR="00A55973" w:rsidRPr="005C73B3" w:rsidRDefault="00A55973" w:rsidP="005C73B3">
      <w:pPr>
        <w:ind w:left="720"/>
        <w:rPr>
          <w:rFonts w:ascii="Arial" w:hAnsi="Arial" w:cs="Arial"/>
          <w:sz w:val="20"/>
        </w:rPr>
      </w:pPr>
    </w:p>
    <w:p w14:paraId="3F1FB278" w14:textId="77777777" w:rsidR="00A55973" w:rsidRPr="00A55973" w:rsidRDefault="00A55973" w:rsidP="005C73B3">
      <w:pPr>
        <w:tabs>
          <w:tab w:val="left" w:pos="795"/>
        </w:tabs>
        <w:suppressAutoHyphens/>
        <w:ind w:left="1203" w:hanging="483"/>
        <w:rPr>
          <w:rFonts w:ascii="Arial" w:hAnsi="Arial" w:cs="Arial"/>
        </w:rPr>
      </w:pPr>
      <w:r w:rsidRPr="00A55973">
        <w:rPr>
          <w:rFonts w:ascii="Arial" w:hAnsi="Arial" w:cs="Arial"/>
        </w:rPr>
        <w:t>3.</w:t>
      </w:r>
      <w:r w:rsidRPr="00A55973">
        <w:rPr>
          <w:rFonts w:ascii="Arial" w:hAnsi="Arial" w:cs="Arial"/>
        </w:rPr>
        <w:tab/>
        <w:t xml:space="preserve">Uninhabitable </w:t>
      </w:r>
    </w:p>
    <w:p w14:paraId="3E0E794A" w14:textId="77777777" w:rsidR="00A55973" w:rsidRPr="00A55973" w:rsidRDefault="00A55973" w:rsidP="005C73B3">
      <w:pPr>
        <w:ind w:left="1203" w:right="-18"/>
        <w:rPr>
          <w:rFonts w:ascii="Arial" w:hAnsi="Arial" w:cs="Arial"/>
        </w:rPr>
      </w:pPr>
      <w:r w:rsidRPr="00A55973">
        <w:rPr>
          <w:rFonts w:ascii="Arial" w:hAnsi="Arial" w:cs="Arial"/>
        </w:rPr>
        <w:t>Uninhabitable is used for properties where there is an accumulation of matter and or filth to such a degree that it makes the premises unliveable and a potential health risk to the occupants and possibly occupants of neighbouring properties. This does not include issues to do with unsafe structures which are catered for through the Building Code of Australia and other legislation.</w:t>
      </w:r>
    </w:p>
    <w:p w14:paraId="4C4FE19A" w14:textId="77777777" w:rsidR="00656C9D" w:rsidRPr="00721265" w:rsidRDefault="00656C9D" w:rsidP="00BA0F37">
      <w:pPr>
        <w:rPr>
          <w:rFonts w:ascii="Arial" w:hAnsi="Arial" w:cs="Arial"/>
          <w:b/>
          <w:color w:val="FFFFFF"/>
          <w:sz w:val="4"/>
          <w:szCs w:val="4"/>
        </w:rPr>
      </w:pPr>
    </w:p>
    <w:p w14:paraId="2F8EA2FE"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0E0FC025"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3ECD1D6C"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0D4B0511"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120E0471" w14:textId="77777777" w:rsidR="00122F79" w:rsidRPr="00F94F2C" w:rsidRDefault="00FA4FF2" w:rsidP="0016654E">
            <w:pPr>
              <w:rPr>
                <w:rFonts w:ascii="Arial" w:hAnsi="Arial" w:cs="Arial"/>
              </w:rPr>
            </w:pPr>
            <w:r>
              <w:rPr>
                <w:rFonts w:ascii="Arial" w:hAnsi="Arial" w:cs="Arial"/>
              </w:rPr>
              <w:t>Public Health Plan</w:t>
            </w:r>
          </w:p>
        </w:tc>
      </w:tr>
      <w:tr w:rsidR="000E59C0" w:rsidRPr="00F94F2C" w14:paraId="5E79F6E4"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5DEE7ED1" w14:textId="77777777" w:rsidR="00122F79" w:rsidRPr="00F94F2C" w:rsidRDefault="00FA1FA0"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2183F5D0" w14:textId="77777777" w:rsidR="00122F79" w:rsidRPr="00F94F2C" w:rsidRDefault="00FA4FF2" w:rsidP="00BA0F37">
            <w:pPr>
              <w:rPr>
                <w:rFonts w:ascii="Arial" w:hAnsi="Arial" w:cs="Arial"/>
              </w:rPr>
            </w:pPr>
            <w:r>
              <w:rPr>
                <w:rFonts w:ascii="Arial" w:hAnsi="Arial" w:cs="Arial"/>
              </w:rPr>
              <w:t>Public Health</w:t>
            </w:r>
            <w:r w:rsidR="00841604">
              <w:rPr>
                <w:rFonts w:ascii="Arial" w:hAnsi="Arial" w:cs="Arial"/>
              </w:rPr>
              <w:t xml:space="preserve"> &amp; Security</w:t>
            </w:r>
          </w:p>
        </w:tc>
      </w:tr>
      <w:tr w:rsidR="000E59C0" w:rsidRPr="00F94F2C" w14:paraId="73BFF9A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80169DD" w14:textId="77777777" w:rsidR="00122F79" w:rsidRPr="00F94F2C" w:rsidRDefault="00FA1FA0"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3946FF61" w14:textId="77777777" w:rsidR="00122F79" w:rsidRPr="00F94F2C" w:rsidRDefault="00FA4FF2" w:rsidP="00BA0F37">
            <w:pPr>
              <w:rPr>
                <w:rFonts w:ascii="Arial" w:hAnsi="Arial" w:cs="Arial"/>
              </w:rPr>
            </w:pPr>
            <w:r>
              <w:rPr>
                <w:rFonts w:ascii="Arial" w:hAnsi="Arial" w:cs="Arial"/>
              </w:rPr>
              <w:t>Environmental Health</w:t>
            </w:r>
          </w:p>
        </w:tc>
      </w:tr>
      <w:tr w:rsidR="000E59C0" w:rsidRPr="00F94F2C" w14:paraId="42BFA9C6"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6D8D468" w14:textId="77777777" w:rsidR="00F94F2C" w:rsidRDefault="00FA1FA0"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67596CBA"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CACF854" w14:textId="77777777" w:rsidR="00122F79" w:rsidRPr="00F94F2C" w:rsidRDefault="00FA4FF2" w:rsidP="00BA0F37">
            <w:pPr>
              <w:rPr>
                <w:rFonts w:ascii="Arial" w:hAnsi="Arial" w:cs="Arial"/>
              </w:rPr>
            </w:pPr>
            <w:r>
              <w:rPr>
                <w:rFonts w:ascii="Arial" w:hAnsi="Arial" w:cs="Arial"/>
              </w:rPr>
              <w:t>No</w:t>
            </w:r>
          </w:p>
        </w:tc>
      </w:tr>
      <w:tr w:rsidR="000E59C0" w:rsidRPr="00F94F2C" w14:paraId="7EF2C4C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DE0E320" w14:textId="77777777" w:rsidR="00F94F2C" w:rsidRDefault="00FA1FA0"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4776266E"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1AAD21B4" w14:textId="596C91A3" w:rsidR="00122F79" w:rsidRPr="00F94F2C" w:rsidRDefault="00FA1FA0" w:rsidP="00BA0F37">
            <w:pPr>
              <w:rPr>
                <w:rFonts w:ascii="Arial" w:hAnsi="Arial" w:cs="Arial"/>
              </w:rPr>
            </w:pPr>
            <w:r>
              <w:rPr>
                <w:rFonts w:ascii="Arial" w:hAnsi="Arial" w:cs="Arial"/>
              </w:rPr>
              <w:t>10 November 2022</w:t>
            </w:r>
          </w:p>
        </w:tc>
      </w:tr>
      <w:tr w:rsidR="000E59C0" w:rsidRPr="00F94F2C" w14:paraId="1B5DBE4D"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2736CE4" w14:textId="77777777" w:rsidR="00F94F2C" w:rsidRDefault="00FA1FA0"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61255100"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6FA15599" w14:textId="09BD2EF0" w:rsidR="00122F79" w:rsidRPr="00F94F2C" w:rsidRDefault="00FA1FA0" w:rsidP="00BA0F37">
            <w:pPr>
              <w:rPr>
                <w:rFonts w:ascii="Arial" w:hAnsi="Arial" w:cs="Arial"/>
              </w:rPr>
            </w:pPr>
            <w:r>
              <w:rPr>
                <w:rFonts w:ascii="Arial" w:hAnsi="Arial" w:cs="Arial"/>
              </w:rPr>
              <w:t>November 2024</w:t>
            </w:r>
          </w:p>
        </w:tc>
      </w:tr>
      <w:tr w:rsidR="000E59C0" w:rsidRPr="00F94F2C" w14:paraId="1CD5FA90"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765A6337" w14:textId="77777777" w:rsidR="00F94F2C" w:rsidRDefault="00FA1FA0"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049D2D9E"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1CEBCAF6" w14:textId="77777777" w:rsidR="00122F79" w:rsidRPr="00F94F2C" w:rsidRDefault="00DD13AC" w:rsidP="00BA0F37">
            <w:pPr>
              <w:rPr>
                <w:rFonts w:ascii="Arial" w:hAnsi="Arial" w:cs="Arial"/>
              </w:rPr>
            </w:pPr>
            <w:r>
              <w:rPr>
                <w:rFonts w:ascii="Arial" w:hAnsi="Arial" w:cs="Arial"/>
              </w:rPr>
              <w:t>4132106</w:t>
            </w:r>
          </w:p>
        </w:tc>
      </w:tr>
    </w:tbl>
    <w:p w14:paraId="57FA2CD2" w14:textId="77777777" w:rsidR="00721265" w:rsidRPr="008816A0" w:rsidRDefault="00721265" w:rsidP="00F94F2C"/>
    <w:sectPr w:rsidR="00721265"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E20A" w14:textId="77777777" w:rsidR="00AB672E" w:rsidRDefault="00AB672E">
      <w:r>
        <w:separator/>
      </w:r>
    </w:p>
  </w:endnote>
  <w:endnote w:type="continuationSeparator" w:id="0">
    <w:p w14:paraId="53FA5E61" w14:textId="77777777" w:rsidR="00AB672E" w:rsidRDefault="00AB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7329FFD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653323">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BD63" w14:textId="77777777" w:rsidR="00AB672E" w:rsidRDefault="00AB672E">
      <w:r>
        <w:separator/>
      </w:r>
    </w:p>
  </w:footnote>
  <w:footnote w:type="continuationSeparator" w:id="0">
    <w:p w14:paraId="2A41990C" w14:textId="77777777" w:rsidR="00AB672E" w:rsidRDefault="00AB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071"/>
      <w:gridCol w:w="5252"/>
    </w:tblGrid>
    <w:tr w:rsidR="00623C8C" w:rsidRPr="00F94F2C" w14:paraId="5510203F" w14:textId="77777777" w:rsidTr="00653323">
      <w:trPr>
        <w:trHeight w:val="340"/>
        <w:tblCellSpacing w:w="20" w:type="dxa"/>
      </w:trPr>
      <w:tc>
        <w:tcPr>
          <w:tcW w:w="2011" w:type="dxa"/>
          <w:shd w:val="clear" w:color="auto" w:fill="auto"/>
          <w:vAlign w:val="center"/>
        </w:tcPr>
        <w:p w14:paraId="6E470615" w14:textId="77777777" w:rsidR="00623C8C" w:rsidRPr="00F94F2C" w:rsidRDefault="00623C8C" w:rsidP="00623C8C">
          <w:r w:rsidRPr="00F94F2C">
            <w:rPr>
              <w:rFonts w:ascii="Arial" w:hAnsi="Arial" w:cs="Arial"/>
              <w:b/>
            </w:rPr>
            <w:t>Title</w:t>
          </w:r>
        </w:p>
      </w:tc>
      <w:tc>
        <w:tcPr>
          <w:tcW w:w="5192" w:type="dxa"/>
          <w:shd w:val="clear" w:color="auto" w:fill="auto"/>
          <w:vAlign w:val="center"/>
        </w:tcPr>
        <w:p w14:paraId="35C15614" w14:textId="77777777" w:rsidR="00623C8C" w:rsidRPr="00712CED" w:rsidRDefault="009A0A01" w:rsidP="00212473">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3A18AC99" wp14:editId="5FA23A21">
                <wp:simplePos x="0" y="0"/>
                <wp:positionH relativeFrom="column">
                  <wp:posOffset>3363595</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73B3">
            <w:rPr>
              <w:rFonts w:ascii="Arial Bold" w:hAnsi="Arial Bold" w:cs="Arial"/>
              <w:b/>
            </w:rPr>
            <w:t>Uninhabitable Premises</w:t>
          </w:r>
        </w:p>
      </w:tc>
    </w:tr>
  </w:tbl>
  <w:p w14:paraId="66B1E8B3"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6196F"/>
    <w:multiLevelType w:val="hybridMultilevel"/>
    <w:tmpl w:val="EC96E65A"/>
    <w:lvl w:ilvl="0" w:tplc="584E122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6" w15:restartNumberingAfterBreak="0">
    <w:nsid w:val="4D550C57"/>
    <w:multiLevelType w:val="hybridMultilevel"/>
    <w:tmpl w:val="1C2411B6"/>
    <w:lvl w:ilvl="0" w:tplc="BC3CEC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8227C7C"/>
    <w:multiLevelType w:val="hybridMultilevel"/>
    <w:tmpl w:val="C7D484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7"/>
  </w:num>
  <w:num w:numId="5">
    <w:abstractNumId w:val="4"/>
  </w:num>
  <w:num w:numId="6">
    <w:abstractNumId w:val="8"/>
  </w:num>
  <w:num w:numId="7">
    <w:abstractNumId w:val="10"/>
  </w:num>
  <w:num w:numId="8">
    <w:abstractNumId w:val="0"/>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72E"/>
    <w:rsid w:val="00017BC9"/>
    <w:rsid w:val="00023FB9"/>
    <w:rsid w:val="00040AA4"/>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2473"/>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53E"/>
    <w:rsid w:val="005A0F9E"/>
    <w:rsid w:val="005A6067"/>
    <w:rsid w:val="005A7267"/>
    <w:rsid w:val="005C1008"/>
    <w:rsid w:val="005C73B3"/>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323"/>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46471"/>
    <w:rsid w:val="00750725"/>
    <w:rsid w:val="00754B55"/>
    <w:rsid w:val="00755DED"/>
    <w:rsid w:val="007637E4"/>
    <w:rsid w:val="00772BAA"/>
    <w:rsid w:val="00773928"/>
    <w:rsid w:val="007A2E7D"/>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1604"/>
    <w:rsid w:val="0084361F"/>
    <w:rsid w:val="0084583A"/>
    <w:rsid w:val="00846234"/>
    <w:rsid w:val="00850D34"/>
    <w:rsid w:val="00851349"/>
    <w:rsid w:val="008816A0"/>
    <w:rsid w:val="0089223F"/>
    <w:rsid w:val="008926B0"/>
    <w:rsid w:val="0089314E"/>
    <w:rsid w:val="00896B8A"/>
    <w:rsid w:val="008A56DD"/>
    <w:rsid w:val="008A7361"/>
    <w:rsid w:val="008C2DB7"/>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5973"/>
    <w:rsid w:val="00A84CD3"/>
    <w:rsid w:val="00A9008C"/>
    <w:rsid w:val="00AA3E86"/>
    <w:rsid w:val="00AB1A42"/>
    <w:rsid w:val="00AB5559"/>
    <w:rsid w:val="00AB672E"/>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5227E"/>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C5DC2"/>
    <w:rsid w:val="00DD13AC"/>
    <w:rsid w:val="00DD4CAE"/>
    <w:rsid w:val="00DD6ABD"/>
    <w:rsid w:val="00DD71F6"/>
    <w:rsid w:val="00DE3902"/>
    <w:rsid w:val="00DF32B7"/>
    <w:rsid w:val="00E029F2"/>
    <w:rsid w:val="00E15966"/>
    <w:rsid w:val="00E17382"/>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E4ECC"/>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829D1"/>
    <w:rsid w:val="00F94F2C"/>
    <w:rsid w:val="00F95225"/>
    <w:rsid w:val="00FA1FA0"/>
    <w:rsid w:val="00FA4FF2"/>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14:docId w14:val="377AEE3B"/>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ckburn.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rjitham\AppData\Local\Microsoft\Windows\Temporary%20Internet%20Files\Content.IE5\J5OL2EQD\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8D530-2F53-4A15-A7B6-25F07DD4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96</TotalTime>
  <Pages>2</Pages>
  <Words>1002</Words>
  <Characters>5193</Characters>
  <Application>Microsoft Office Word</Application>
  <DocSecurity>0</DocSecurity>
  <Lines>152</Lines>
  <Paragraphs>74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6121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IT Manager</dc:creator>
  <cp:lastModifiedBy>Bernadette Pinto</cp:lastModifiedBy>
  <cp:revision>12</cp:revision>
  <cp:lastPrinted>2022-11-25T03:14:00Z</cp:lastPrinted>
  <dcterms:created xsi:type="dcterms:W3CDTF">2019-01-16T07:04:00Z</dcterms:created>
  <dcterms:modified xsi:type="dcterms:W3CDTF">2022-11-25T03:14:00Z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