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49C99" w14:textId="77777777" w:rsidR="007300FE" w:rsidRPr="00EA4E9A" w:rsidRDefault="00504229" w:rsidP="007300FE">
      <w:pPr>
        <w:spacing w:after="0"/>
        <w:jc w:val="left"/>
      </w:pPr>
      <w:r>
        <w:rPr>
          <w:noProof/>
        </w:rPr>
        <w:pict w14:anchorId="19638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05pt;margin-top:-62.7pt;width:596.55pt;height:840.65pt;z-index:-251405824;mso-position-horizontal-relative:text;mso-position-vertical-relative:text" wrapcoords="-38 0 -38 21573 21600 21573 21600 0 -38 0">
            <v:imagedata r:id="rId8" o:title="Cover-Page---Footpaths-AMP-1"/>
            <w10:wrap type="tight"/>
          </v:shape>
        </w:pict>
      </w:r>
      <w:r w:rsidR="00525F84">
        <w:br w:type="page"/>
      </w:r>
      <w:r w:rsidR="007300FE" w:rsidRPr="00401461">
        <w:rPr>
          <w:rFonts w:cs="Arial"/>
          <w:i/>
          <w:szCs w:val="24"/>
        </w:rPr>
        <w:lastRenderedPageBreak/>
        <w:t xml:space="preserve">Front cover </w:t>
      </w:r>
      <w:r w:rsidR="006C4D12">
        <w:rPr>
          <w:rFonts w:cs="Arial"/>
          <w:i/>
          <w:szCs w:val="24"/>
        </w:rPr>
        <w:t>image</w:t>
      </w:r>
      <w:r w:rsidR="007300FE" w:rsidRPr="00401461">
        <w:rPr>
          <w:rFonts w:cs="Arial"/>
          <w:i/>
          <w:szCs w:val="24"/>
        </w:rPr>
        <w:t xml:space="preserve"> is taken at Coogee Beach Reserve, Coogee</w:t>
      </w:r>
    </w:p>
    <w:p w14:paraId="3DF850BB" w14:textId="77777777" w:rsidR="00401461" w:rsidRDefault="00401461">
      <w:pPr>
        <w:spacing w:after="0"/>
        <w:jc w:val="left"/>
        <w:rPr>
          <w:rFonts w:cs="Arial"/>
          <w:szCs w:val="24"/>
        </w:rPr>
      </w:pPr>
    </w:p>
    <w:p w14:paraId="7A3DE3C8" w14:textId="77777777" w:rsidR="00401461" w:rsidRDefault="00401461">
      <w:pPr>
        <w:spacing w:after="0"/>
        <w:jc w:val="left"/>
        <w:rPr>
          <w:rFonts w:cs="Arial"/>
          <w:szCs w:val="24"/>
        </w:rPr>
      </w:pPr>
    </w:p>
    <w:p w14:paraId="3358654B" w14:textId="77777777" w:rsidR="00401461" w:rsidRDefault="00401461">
      <w:pPr>
        <w:spacing w:after="0"/>
        <w:jc w:val="left"/>
        <w:rPr>
          <w:rFonts w:cs="Arial"/>
          <w:szCs w:val="24"/>
        </w:rPr>
      </w:pPr>
    </w:p>
    <w:p w14:paraId="6132CEFA" w14:textId="77777777" w:rsidR="00401461" w:rsidRDefault="00401461">
      <w:pPr>
        <w:spacing w:after="0"/>
        <w:jc w:val="left"/>
        <w:rPr>
          <w:rFonts w:cs="Arial"/>
          <w:szCs w:val="24"/>
        </w:rPr>
      </w:pPr>
    </w:p>
    <w:p w14:paraId="753B39C3" w14:textId="77777777" w:rsidR="00401461" w:rsidRDefault="00401461">
      <w:pPr>
        <w:spacing w:after="0"/>
        <w:jc w:val="left"/>
        <w:rPr>
          <w:rFonts w:cs="Arial"/>
          <w:szCs w:val="24"/>
        </w:rPr>
      </w:pPr>
    </w:p>
    <w:p w14:paraId="7C23F216" w14:textId="77777777" w:rsidR="00401461" w:rsidRDefault="00401461">
      <w:pPr>
        <w:spacing w:after="0"/>
        <w:jc w:val="left"/>
        <w:rPr>
          <w:rFonts w:cs="Arial"/>
          <w:szCs w:val="24"/>
        </w:rPr>
      </w:pPr>
    </w:p>
    <w:p w14:paraId="0A0B26C3" w14:textId="77777777" w:rsidR="00401461" w:rsidRDefault="00401461">
      <w:pPr>
        <w:spacing w:after="0"/>
        <w:jc w:val="left"/>
        <w:rPr>
          <w:rFonts w:cs="Arial"/>
          <w:szCs w:val="24"/>
        </w:rPr>
      </w:pPr>
    </w:p>
    <w:p w14:paraId="68DAC88D" w14:textId="77777777" w:rsidR="00401461" w:rsidRDefault="00401461">
      <w:pPr>
        <w:spacing w:after="0"/>
        <w:jc w:val="left"/>
        <w:rPr>
          <w:rFonts w:cs="Arial"/>
          <w:szCs w:val="24"/>
        </w:rPr>
      </w:pPr>
    </w:p>
    <w:p w14:paraId="2C4CAE87" w14:textId="77777777" w:rsidR="00DA64C6" w:rsidRDefault="00DA64C6" w:rsidP="00DA64C6">
      <w:pPr>
        <w:pStyle w:val="BodyText"/>
      </w:pPr>
    </w:p>
    <w:p w14:paraId="14D03AB3" w14:textId="77777777" w:rsidR="00DA64C6" w:rsidRDefault="00DA64C6" w:rsidP="00DA64C6">
      <w:pPr>
        <w:pStyle w:val="BodyText"/>
      </w:pPr>
    </w:p>
    <w:p w14:paraId="1368ADB6" w14:textId="77777777" w:rsidR="00DA64C6" w:rsidRDefault="00DA64C6" w:rsidP="00DA64C6">
      <w:pPr>
        <w:pStyle w:val="BodyText"/>
      </w:pPr>
    </w:p>
    <w:p w14:paraId="31DCD9F0" w14:textId="77777777" w:rsidR="00DA64C6" w:rsidRDefault="00DA64C6" w:rsidP="00DA64C6">
      <w:pPr>
        <w:pStyle w:val="BodyText"/>
      </w:pPr>
    </w:p>
    <w:p w14:paraId="00A19639" w14:textId="77777777" w:rsidR="00DA64C6" w:rsidRDefault="00DA64C6" w:rsidP="00DA64C6">
      <w:pPr>
        <w:pStyle w:val="BodyText"/>
      </w:pPr>
    </w:p>
    <w:p w14:paraId="520CA780" w14:textId="77777777" w:rsidR="00466608" w:rsidRDefault="00466608" w:rsidP="00DA64C6">
      <w:pPr>
        <w:pStyle w:val="BodyText"/>
      </w:pPr>
    </w:p>
    <w:p w14:paraId="4A82CC71" w14:textId="77777777" w:rsidR="00466608" w:rsidRDefault="00466608" w:rsidP="00DA64C6">
      <w:pPr>
        <w:pStyle w:val="BodyText"/>
      </w:pPr>
    </w:p>
    <w:p w14:paraId="16E9E26C" w14:textId="77777777" w:rsidR="007300FE" w:rsidRPr="00DA64C6" w:rsidRDefault="007300FE" w:rsidP="00DA64C6">
      <w:pPr>
        <w:pStyle w:val="BodyText"/>
      </w:pPr>
    </w:p>
    <w:p w14:paraId="259FF4C5" w14:textId="77777777" w:rsidR="00401461" w:rsidRDefault="00401461">
      <w:pPr>
        <w:spacing w:after="0"/>
        <w:jc w:val="left"/>
        <w:rPr>
          <w:rFonts w:cs="Arial"/>
          <w:szCs w:val="24"/>
        </w:rPr>
      </w:pPr>
    </w:p>
    <w:p w14:paraId="047DF180" w14:textId="77777777" w:rsidR="00F03AA2" w:rsidRPr="00F03AA2" w:rsidRDefault="00F03AA2" w:rsidP="00F03AA2">
      <w:pPr>
        <w:pStyle w:val="BodyText"/>
      </w:pPr>
    </w:p>
    <w:tbl>
      <w:tblPr>
        <w:tblpPr w:leftFromText="180" w:rightFromText="180" w:vertAnchor="text" w:horzAnchor="page" w:tblpX="1097" w:tblpY="122"/>
        <w:tblW w:w="101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931"/>
        <w:gridCol w:w="1689"/>
        <w:gridCol w:w="2220"/>
        <w:gridCol w:w="1843"/>
        <w:gridCol w:w="2162"/>
        <w:gridCol w:w="1260"/>
      </w:tblGrid>
      <w:tr w:rsidR="00476CAB" w:rsidRPr="00753FA6" w14:paraId="2F709D28" w14:textId="77777777" w:rsidTr="00476CAB">
        <w:trPr>
          <w:cantSplit/>
          <w:trHeight w:hRule="exact" w:val="1154"/>
        </w:trPr>
        <w:tc>
          <w:tcPr>
            <w:tcW w:w="2620" w:type="dxa"/>
            <w:gridSpan w:val="2"/>
            <w:tcBorders>
              <w:top w:val="single" w:sz="4" w:space="0" w:color="auto"/>
              <w:left w:val="single" w:sz="4" w:space="0" w:color="auto"/>
              <w:bottom w:val="single" w:sz="4" w:space="0" w:color="auto"/>
              <w:right w:val="single" w:sz="4" w:space="0" w:color="auto"/>
            </w:tcBorders>
            <w:vAlign w:val="center"/>
          </w:tcPr>
          <w:p w14:paraId="6EA67D5C" w14:textId="77777777" w:rsidR="00476CAB" w:rsidRPr="00753FA6" w:rsidRDefault="00476CAB" w:rsidP="00476CAB">
            <w:pPr>
              <w:jc w:val="center"/>
              <w:rPr>
                <w:rFonts w:ascii="Arial Narrow" w:hAnsi="Arial Narrow" w:cs="Arial"/>
                <w:b/>
                <w:szCs w:val="24"/>
              </w:rPr>
            </w:pPr>
            <w:r w:rsidRPr="00753FA6">
              <w:rPr>
                <w:rFonts w:ascii="Arial Narrow" w:hAnsi="Arial Narrow" w:cs="Arial"/>
                <w:b/>
                <w:szCs w:val="24"/>
              </w:rPr>
              <w:t>Document Control</w:t>
            </w:r>
          </w:p>
        </w:tc>
        <w:tc>
          <w:tcPr>
            <w:tcW w:w="7485" w:type="dxa"/>
            <w:gridSpan w:val="4"/>
            <w:tcBorders>
              <w:top w:val="single" w:sz="4" w:space="0" w:color="auto"/>
              <w:left w:val="single" w:sz="4" w:space="0" w:color="auto"/>
              <w:bottom w:val="single" w:sz="4" w:space="0" w:color="auto"/>
              <w:right w:val="single" w:sz="4" w:space="0" w:color="auto"/>
            </w:tcBorders>
            <w:vAlign w:val="center"/>
          </w:tcPr>
          <w:p w14:paraId="042425AA" w14:textId="77777777" w:rsidR="00476CAB" w:rsidRPr="00753FA6" w:rsidRDefault="00476CAB" w:rsidP="00476CAB">
            <w:pPr>
              <w:pStyle w:val="BodyText"/>
              <w:rPr>
                <w:rFonts w:ascii="Arial Narrow" w:hAnsi="Arial Narrow" w:cs="Arial"/>
                <w:szCs w:val="24"/>
              </w:rPr>
            </w:pPr>
            <w:r>
              <w:rPr>
                <w:rFonts w:ascii="Arial Narrow" w:hAnsi="Arial Narrow" w:cs="Arial"/>
                <w:b/>
                <w:noProof/>
                <w:szCs w:val="24"/>
                <w:lang w:eastAsia="en-AU"/>
              </w:rPr>
              <mc:AlternateContent>
                <mc:Choice Requires="wps">
                  <w:drawing>
                    <wp:anchor distT="0" distB="0" distL="114300" distR="114300" simplePos="0" relativeHeight="251881984" behindDoc="0" locked="0" layoutInCell="1" allowOverlap="1" wp14:anchorId="1952F4DA" wp14:editId="1E8817E1">
                      <wp:simplePos x="0" y="0"/>
                      <wp:positionH relativeFrom="column">
                        <wp:posOffset>2384425</wp:posOffset>
                      </wp:positionH>
                      <wp:positionV relativeFrom="paragraph">
                        <wp:posOffset>36830</wp:posOffset>
                      </wp:positionV>
                      <wp:extent cx="1485900" cy="571500"/>
                      <wp:effectExtent l="3175" t="0" r="0" b="1270"/>
                      <wp:wrapNone/>
                      <wp:docPr id="3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D6E2E" w14:textId="77777777" w:rsidR="00140CAE" w:rsidRPr="002E4F3F" w:rsidRDefault="00140CAE" w:rsidP="00476CAB">
                                  <w:pPr>
                                    <w:jc w:val="right"/>
                                  </w:pPr>
                                  <w:r>
                                    <w:rPr>
                                      <w:rFonts w:cs="Arial"/>
                                      <w:b/>
                                      <w:noProof/>
                                      <w:sz w:val="16"/>
                                      <w:lang w:eastAsia="en-AU"/>
                                    </w:rPr>
                                    <w:drawing>
                                      <wp:inline distT="0" distB="0" distL="0" distR="0" wp14:anchorId="0BE0B641" wp14:editId="46BC9036">
                                        <wp:extent cx="228600" cy="390525"/>
                                        <wp:effectExtent l="19050" t="0" r="0" b="0"/>
                                        <wp:docPr id="362" name="Picture 362"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WEA logo col"/>
                                                <pic:cNvPicPr>
                                                  <a:picLocks noChangeAspect="1" noChangeArrowheads="1"/>
                                                </pic:cNvPicPr>
                                              </pic:nvPicPr>
                                              <pic:blipFill>
                                                <a:blip r:embed="rId9"/>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4AF55516" wp14:editId="40CE154B">
                                        <wp:extent cx="457200" cy="428625"/>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2F4DA" id="_x0000_t202" coordsize="21600,21600" o:spt="202" path="m,l,21600r21600,l21600,xe">
                      <v:stroke joinstyle="miter"/>
                      <v:path gradientshapeok="t" o:connecttype="rect"/>
                    </v:shapetype>
                    <v:shape id="Text Box 24" o:spid="_x0000_s1026" type="#_x0000_t202" style="position:absolute;left:0;text-align:left;margin-left:187.75pt;margin-top:2.9pt;width:117pt;height:4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" stroked="f">
                      <v:textbox>
                        <w:txbxContent>
                          <w:p w14:paraId="6CCD6E2E" w14:textId="77777777" w:rsidR="00140CAE" w:rsidRPr="002E4F3F" w:rsidRDefault="00140CAE" w:rsidP="00476CAB">
                            <w:pPr>
                              <w:jc w:val="right"/>
                            </w:pPr>
                            <w:r>
                              <w:rPr>
                                <w:rFonts w:cs="Arial"/>
                                <w:b/>
                                <w:noProof/>
                                <w:sz w:val="16"/>
                                <w:lang w:eastAsia="en-AU"/>
                              </w:rPr>
                              <w:drawing>
                                <wp:inline distT="0" distB="0" distL="0" distR="0" wp14:anchorId="0BE0B641" wp14:editId="46BC9036">
                                  <wp:extent cx="228600" cy="390525"/>
                                  <wp:effectExtent l="19050" t="0" r="0" b="0"/>
                                  <wp:docPr id="362" name="Picture 362"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WEA logo col"/>
                                          <pic:cNvPicPr>
                                            <a:picLocks noChangeAspect="1" noChangeArrowheads="1"/>
                                          </pic:cNvPicPr>
                                        </pic:nvPicPr>
                                        <pic:blipFill>
                                          <a:blip r:embed="rId9"/>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4AF55516" wp14:editId="40CE154B">
                                  <wp:extent cx="457200" cy="428625"/>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v:textbox>
                    </v:shape>
                  </w:pict>
                </mc:Fallback>
              </mc:AlternateContent>
            </w:r>
          </w:p>
          <w:p w14:paraId="79C5AC51" w14:textId="77777777" w:rsidR="00476CAB" w:rsidRPr="00753FA6" w:rsidRDefault="00476CAB" w:rsidP="00476CAB">
            <w:pPr>
              <w:pStyle w:val="BodyText"/>
              <w:rPr>
                <w:rFonts w:ascii="Arial Narrow" w:hAnsi="Arial Narrow" w:cs="Arial"/>
                <w:szCs w:val="24"/>
              </w:rPr>
            </w:pPr>
          </w:p>
        </w:tc>
      </w:tr>
      <w:tr w:rsidR="00476CAB" w:rsidRPr="00753FA6" w14:paraId="62142A75" w14:textId="77777777" w:rsidTr="00466608">
        <w:trPr>
          <w:cantSplit/>
        </w:trPr>
        <w:tc>
          <w:tcPr>
            <w:tcW w:w="931" w:type="dxa"/>
          </w:tcPr>
          <w:p w14:paraId="0E49D995" w14:textId="77777777" w:rsidR="00476CAB" w:rsidRPr="00753FA6" w:rsidRDefault="00476CAB" w:rsidP="00476CAB">
            <w:pPr>
              <w:spacing w:before="60" w:after="60"/>
              <w:jc w:val="center"/>
              <w:rPr>
                <w:rFonts w:ascii="Arial Narrow" w:hAnsi="Arial Narrow" w:cs="Arial"/>
                <w:szCs w:val="24"/>
              </w:rPr>
            </w:pPr>
            <w:r>
              <w:rPr>
                <w:rFonts w:ascii="Arial Narrow" w:hAnsi="Arial Narrow" w:cs="Arial"/>
                <w:szCs w:val="24"/>
              </w:rPr>
              <w:t>Version</w:t>
            </w:r>
            <w:r w:rsidRPr="00753FA6">
              <w:rPr>
                <w:rFonts w:ascii="Arial Narrow" w:hAnsi="Arial Narrow" w:cs="Arial"/>
                <w:szCs w:val="24"/>
              </w:rPr>
              <w:t xml:space="preserve"> No</w:t>
            </w:r>
          </w:p>
        </w:tc>
        <w:tc>
          <w:tcPr>
            <w:tcW w:w="1689" w:type="dxa"/>
          </w:tcPr>
          <w:p w14:paraId="422CD8A2" w14:textId="77777777" w:rsidR="00476CAB" w:rsidRPr="00753FA6" w:rsidRDefault="00476CAB" w:rsidP="00466608">
            <w:pPr>
              <w:spacing w:before="60" w:after="60"/>
              <w:jc w:val="left"/>
              <w:rPr>
                <w:rFonts w:ascii="Arial Narrow" w:hAnsi="Arial Narrow" w:cs="Arial"/>
                <w:szCs w:val="24"/>
              </w:rPr>
            </w:pPr>
            <w:r w:rsidRPr="00753FA6">
              <w:rPr>
                <w:rFonts w:ascii="Arial Narrow" w:hAnsi="Arial Narrow" w:cs="Arial"/>
                <w:szCs w:val="24"/>
              </w:rPr>
              <w:t>Date</w:t>
            </w:r>
          </w:p>
        </w:tc>
        <w:tc>
          <w:tcPr>
            <w:tcW w:w="2220" w:type="dxa"/>
          </w:tcPr>
          <w:p w14:paraId="4D7F9ED6" w14:textId="77777777" w:rsidR="00476CAB" w:rsidRPr="00753FA6" w:rsidRDefault="00476CAB" w:rsidP="00476CAB">
            <w:pPr>
              <w:spacing w:before="60" w:after="60"/>
              <w:jc w:val="center"/>
              <w:rPr>
                <w:rFonts w:ascii="Arial Narrow" w:hAnsi="Arial Narrow" w:cs="Arial"/>
                <w:szCs w:val="24"/>
              </w:rPr>
            </w:pPr>
            <w:r>
              <w:rPr>
                <w:rFonts w:ascii="Arial Narrow" w:hAnsi="Arial Narrow" w:cs="Arial"/>
                <w:szCs w:val="24"/>
              </w:rPr>
              <w:t>Version</w:t>
            </w:r>
            <w:r w:rsidRPr="00753FA6">
              <w:rPr>
                <w:rFonts w:ascii="Arial Narrow" w:hAnsi="Arial Narrow" w:cs="Arial"/>
                <w:szCs w:val="24"/>
              </w:rPr>
              <w:t xml:space="preserve"> Details</w:t>
            </w:r>
          </w:p>
        </w:tc>
        <w:tc>
          <w:tcPr>
            <w:tcW w:w="1843" w:type="dxa"/>
          </w:tcPr>
          <w:p w14:paraId="33FD455E" w14:textId="77777777" w:rsidR="00476CAB" w:rsidRPr="00753FA6" w:rsidRDefault="00476CAB" w:rsidP="00476CAB">
            <w:pPr>
              <w:spacing w:before="60" w:after="60"/>
              <w:jc w:val="center"/>
              <w:rPr>
                <w:rFonts w:ascii="Arial Narrow" w:hAnsi="Arial Narrow" w:cs="Arial"/>
                <w:szCs w:val="24"/>
              </w:rPr>
            </w:pPr>
            <w:r w:rsidRPr="00753FA6">
              <w:rPr>
                <w:rFonts w:ascii="Arial Narrow" w:hAnsi="Arial Narrow" w:cs="Arial"/>
                <w:szCs w:val="24"/>
              </w:rPr>
              <w:t>Author</w:t>
            </w:r>
          </w:p>
        </w:tc>
        <w:tc>
          <w:tcPr>
            <w:tcW w:w="2162" w:type="dxa"/>
          </w:tcPr>
          <w:p w14:paraId="165B07E2" w14:textId="77777777" w:rsidR="00476CAB" w:rsidRPr="00753FA6" w:rsidRDefault="00476CAB" w:rsidP="00476CAB">
            <w:pPr>
              <w:spacing w:before="60" w:after="60"/>
              <w:jc w:val="center"/>
              <w:rPr>
                <w:rFonts w:ascii="Arial Narrow" w:hAnsi="Arial Narrow" w:cs="Arial"/>
                <w:szCs w:val="24"/>
              </w:rPr>
            </w:pPr>
            <w:r w:rsidRPr="00753FA6">
              <w:rPr>
                <w:rFonts w:ascii="Arial Narrow" w:hAnsi="Arial Narrow" w:cs="Arial"/>
                <w:szCs w:val="24"/>
              </w:rPr>
              <w:t>Reviewer</w:t>
            </w:r>
          </w:p>
        </w:tc>
        <w:tc>
          <w:tcPr>
            <w:tcW w:w="1260" w:type="dxa"/>
          </w:tcPr>
          <w:p w14:paraId="3D4A2FAF" w14:textId="77777777" w:rsidR="00476CAB" w:rsidRPr="00753FA6" w:rsidRDefault="00476CAB" w:rsidP="00476CAB">
            <w:pPr>
              <w:spacing w:before="60" w:after="60"/>
              <w:jc w:val="center"/>
              <w:rPr>
                <w:rFonts w:ascii="Arial Narrow" w:hAnsi="Arial Narrow" w:cs="Arial"/>
                <w:szCs w:val="24"/>
              </w:rPr>
            </w:pPr>
            <w:r w:rsidRPr="00753FA6">
              <w:rPr>
                <w:rFonts w:ascii="Arial Narrow" w:hAnsi="Arial Narrow" w:cs="Arial"/>
                <w:szCs w:val="24"/>
              </w:rPr>
              <w:t>Approver</w:t>
            </w:r>
          </w:p>
        </w:tc>
      </w:tr>
      <w:tr w:rsidR="00476CAB" w:rsidRPr="00753FA6" w14:paraId="21C083F3" w14:textId="77777777" w:rsidTr="00466608">
        <w:trPr>
          <w:cantSplit/>
        </w:trPr>
        <w:tc>
          <w:tcPr>
            <w:tcW w:w="931" w:type="dxa"/>
            <w:vAlign w:val="center"/>
          </w:tcPr>
          <w:p w14:paraId="3AADBB32"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1</w:t>
            </w:r>
          </w:p>
        </w:tc>
        <w:tc>
          <w:tcPr>
            <w:tcW w:w="1689" w:type="dxa"/>
            <w:vAlign w:val="center"/>
          </w:tcPr>
          <w:p w14:paraId="35F34E32" w14:textId="77777777" w:rsidR="00476CAB" w:rsidRPr="00753FA6" w:rsidRDefault="00476CAB" w:rsidP="00466608">
            <w:pPr>
              <w:spacing w:before="60" w:after="60"/>
              <w:jc w:val="left"/>
              <w:rPr>
                <w:rFonts w:ascii="Arial Narrow" w:hAnsi="Arial Narrow" w:cs="Arial"/>
                <w:szCs w:val="24"/>
              </w:rPr>
            </w:pPr>
            <w:r>
              <w:rPr>
                <w:rFonts w:ascii="Arial Narrow" w:hAnsi="Arial Narrow" w:cs="Arial"/>
                <w:szCs w:val="24"/>
              </w:rPr>
              <w:t>Dec 2012</w:t>
            </w:r>
          </w:p>
        </w:tc>
        <w:tc>
          <w:tcPr>
            <w:tcW w:w="2220" w:type="dxa"/>
            <w:vAlign w:val="center"/>
          </w:tcPr>
          <w:p w14:paraId="520BB69E"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Original document</w:t>
            </w:r>
          </w:p>
        </w:tc>
        <w:tc>
          <w:tcPr>
            <w:tcW w:w="1843" w:type="dxa"/>
            <w:vAlign w:val="center"/>
          </w:tcPr>
          <w:p w14:paraId="2669BF2A"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Asset Services</w:t>
            </w:r>
          </w:p>
        </w:tc>
        <w:tc>
          <w:tcPr>
            <w:tcW w:w="2162" w:type="dxa"/>
            <w:vAlign w:val="center"/>
          </w:tcPr>
          <w:p w14:paraId="41D77A16"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Road services</w:t>
            </w:r>
          </w:p>
        </w:tc>
        <w:tc>
          <w:tcPr>
            <w:tcW w:w="1260" w:type="dxa"/>
            <w:vAlign w:val="center"/>
          </w:tcPr>
          <w:p w14:paraId="027370F1" w14:textId="77777777" w:rsidR="00476CAB" w:rsidRPr="00753FA6" w:rsidRDefault="00476CAB" w:rsidP="00476CAB">
            <w:pPr>
              <w:spacing w:before="60" w:after="60"/>
              <w:jc w:val="left"/>
              <w:rPr>
                <w:rFonts w:ascii="Arial Narrow" w:hAnsi="Arial Narrow" w:cs="Arial"/>
                <w:szCs w:val="24"/>
              </w:rPr>
            </w:pPr>
          </w:p>
        </w:tc>
      </w:tr>
      <w:tr w:rsidR="00476CAB" w:rsidRPr="00753FA6" w14:paraId="71B257A0" w14:textId="77777777" w:rsidTr="00466608">
        <w:trPr>
          <w:cantSplit/>
        </w:trPr>
        <w:tc>
          <w:tcPr>
            <w:tcW w:w="931" w:type="dxa"/>
            <w:vAlign w:val="center"/>
          </w:tcPr>
          <w:p w14:paraId="7192D62C"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2</w:t>
            </w:r>
          </w:p>
        </w:tc>
        <w:tc>
          <w:tcPr>
            <w:tcW w:w="1689" w:type="dxa"/>
            <w:vAlign w:val="center"/>
          </w:tcPr>
          <w:p w14:paraId="292F3F1C" w14:textId="77777777" w:rsidR="00476CAB" w:rsidRPr="00753FA6" w:rsidRDefault="00476CAB" w:rsidP="00466608">
            <w:pPr>
              <w:spacing w:before="60" w:after="60"/>
              <w:jc w:val="left"/>
              <w:rPr>
                <w:rFonts w:ascii="Arial Narrow" w:hAnsi="Arial Narrow" w:cs="Arial"/>
                <w:szCs w:val="24"/>
              </w:rPr>
            </w:pPr>
            <w:r>
              <w:rPr>
                <w:rFonts w:ascii="Arial Narrow" w:hAnsi="Arial Narrow" w:cs="Arial"/>
                <w:szCs w:val="24"/>
              </w:rPr>
              <w:t>Feb 2013</w:t>
            </w:r>
          </w:p>
        </w:tc>
        <w:tc>
          <w:tcPr>
            <w:tcW w:w="2220" w:type="dxa"/>
            <w:vAlign w:val="center"/>
          </w:tcPr>
          <w:p w14:paraId="1494E905"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Final version for adoption</w:t>
            </w:r>
          </w:p>
        </w:tc>
        <w:tc>
          <w:tcPr>
            <w:tcW w:w="1843" w:type="dxa"/>
            <w:vAlign w:val="center"/>
          </w:tcPr>
          <w:p w14:paraId="2FBC221C"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Asset Services</w:t>
            </w:r>
          </w:p>
        </w:tc>
        <w:tc>
          <w:tcPr>
            <w:tcW w:w="2162" w:type="dxa"/>
            <w:vAlign w:val="center"/>
          </w:tcPr>
          <w:p w14:paraId="5F7555FA"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 xml:space="preserve">Manager Engineering service </w:t>
            </w:r>
          </w:p>
        </w:tc>
        <w:tc>
          <w:tcPr>
            <w:tcW w:w="1260" w:type="dxa"/>
            <w:vAlign w:val="center"/>
          </w:tcPr>
          <w:p w14:paraId="33702E70"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Council</w:t>
            </w:r>
          </w:p>
        </w:tc>
      </w:tr>
      <w:tr w:rsidR="00476CAB" w:rsidRPr="00753FA6" w14:paraId="25738438" w14:textId="77777777" w:rsidTr="00466608">
        <w:trPr>
          <w:cantSplit/>
        </w:trPr>
        <w:tc>
          <w:tcPr>
            <w:tcW w:w="931" w:type="dxa"/>
            <w:vAlign w:val="center"/>
          </w:tcPr>
          <w:p w14:paraId="61D88644"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3</w:t>
            </w:r>
          </w:p>
        </w:tc>
        <w:tc>
          <w:tcPr>
            <w:tcW w:w="1689" w:type="dxa"/>
            <w:vAlign w:val="center"/>
          </w:tcPr>
          <w:p w14:paraId="4AA3C355" w14:textId="77777777" w:rsidR="00476CAB" w:rsidRPr="00753FA6" w:rsidRDefault="00476CAB" w:rsidP="00466608">
            <w:pPr>
              <w:spacing w:before="60" w:after="60"/>
              <w:jc w:val="left"/>
              <w:rPr>
                <w:rFonts w:ascii="Arial Narrow" w:hAnsi="Arial Narrow" w:cs="Arial"/>
                <w:szCs w:val="24"/>
              </w:rPr>
            </w:pPr>
            <w:r>
              <w:rPr>
                <w:rFonts w:ascii="Arial Narrow" w:hAnsi="Arial Narrow" w:cs="Arial"/>
                <w:szCs w:val="24"/>
              </w:rPr>
              <w:t>August 2015</w:t>
            </w:r>
          </w:p>
        </w:tc>
        <w:tc>
          <w:tcPr>
            <w:tcW w:w="2220" w:type="dxa"/>
            <w:vAlign w:val="center"/>
          </w:tcPr>
          <w:p w14:paraId="07896B8C" w14:textId="77777777" w:rsidR="00476CAB" w:rsidRPr="00753FA6" w:rsidRDefault="00F43151" w:rsidP="00476CAB">
            <w:pPr>
              <w:spacing w:before="60" w:after="60"/>
              <w:jc w:val="left"/>
              <w:rPr>
                <w:rFonts w:ascii="Arial Narrow" w:hAnsi="Arial Narrow" w:cs="Arial"/>
                <w:szCs w:val="24"/>
              </w:rPr>
            </w:pPr>
            <w:r>
              <w:rPr>
                <w:rFonts w:ascii="Arial Narrow" w:hAnsi="Arial Narrow" w:cs="Arial"/>
                <w:szCs w:val="24"/>
              </w:rPr>
              <w:t>Final version 2014 -</w:t>
            </w:r>
            <w:r w:rsidR="00476CAB">
              <w:rPr>
                <w:rFonts w:ascii="Arial Narrow" w:hAnsi="Arial Narrow" w:cs="Arial"/>
                <w:szCs w:val="24"/>
              </w:rPr>
              <w:t xml:space="preserve"> 2017</w:t>
            </w:r>
          </w:p>
        </w:tc>
        <w:tc>
          <w:tcPr>
            <w:tcW w:w="1843" w:type="dxa"/>
            <w:vAlign w:val="center"/>
          </w:tcPr>
          <w:p w14:paraId="3DEFA144"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Asset Services</w:t>
            </w:r>
          </w:p>
        </w:tc>
        <w:tc>
          <w:tcPr>
            <w:tcW w:w="2162" w:type="dxa"/>
            <w:vAlign w:val="center"/>
          </w:tcPr>
          <w:p w14:paraId="2D0A8B84"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 xml:space="preserve">Manager Engineering Services </w:t>
            </w:r>
          </w:p>
        </w:tc>
        <w:tc>
          <w:tcPr>
            <w:tcW w:w="1260" w:type="dxa"/>
            <w:vAlign w:val="center"/>
          </w:tcPr>
          <w:p w14:paraId="08970A51" w14:textId="77777777" w:rsidR="00476CAB" w:rsidRPr="00753FA6" w:rsidRDefault="00476CAB" w:rsidP="00476CAB">
            <w:pPr>
              <w:spacing w:before="60" w:after="60"/>
              <w:jc w:val="left"/>
              <w:rPr>
                <w:rFonts w:ascii="Arial Narrow" w:hAnsi="Arial Narrow" w:cs="Arial"/>
                <w:szCs w:val="24"/>
              </w:rPr>
            </w:pPr>
            <w:r>
              <w:rPr>
                <w:rFonts w:ascii="Arial Narrow" w:hAnsi="Arial Narrow" w:cs="Arial"/>
                <w:szCs w:val="24"/>
              </w:rPr>
              <w:t>Executive Group</w:t>
            </w:r>
          </w:p>
        </w:tc>
      </w:tr>
      <w:tr w:rsidR="00476CAB" w:rsidRPr="00753FA6" w14:paraId="477760BE" w14:textId="77777777" w:rsidTr="00466608">
        <w:trPr>
          <w:cantSplit/>
        </w:trPr>
        <w:tc>
          <w:tcPr>
            <w:tcW w:w="931" w:type="dxa"/>
            <w:vAlign w:val="center"/>
          </w:tcPr>
          <w:p w14:paraId="5BA4140F" w14:textId="77777777" w:rsidR="00476CAB" w:rsidRDefault="00476CAB" w:rsidP="00476CAB">
            <w:pPr>
              <w:spacing w:before="60" w:after="60"/>
              <w:jc w:val="left"/>
              <w:rPr>
                <w:rFonts w:ascii="Arial Narrow" w:hAnsi="Arial Narrow" w:cs="Arial"/>
                <w:szCs w:val="24"/>
              </w:rPr>
            </w:pPr>
            <w:r>
              <w:rPr>
                <w:rFonts w:ascii="Arial Narrow" w:hAnsi="Arial Narrow" w:cs="Arial"/>
                <w:szCs w:val="24"/>
              </w:rPr>
              <w:t>4</w:t>
            </w:r>
          </w:p>
        </w:tc>
        <w:tc>
          <w:tcPr>
            <w:tcW w:w="1689" w:type="dxa"/>
            <w:vAlign w:val="center"/>
          </w:tcPr>
          <w:p w14:paraId="40A27ABC" w14:textId="77777777" w:rsidR="00476CAB" w:rsidRDefault="00476CAB" w:rsidP="00466608">
            <w:pPr>
              <w:spacing w:before="60" w:after="60"/>
              <w:jc w:val="left"/>
              <w:rPr>
                <w:rFonts w:ascii="Arial Narrow" w:hAnsi="Arial Narrow" w:cs="Arial"/>
                <w:szCs w:val="24"/>
              </w:rPr>
            </w:pPr>
            <w:r>
              <w:rPr>
                <w:rFonts w:ascii="Arial Narrow" w:hAnsi="Arial Narrow" w:cs="Arial"/>
                <w:szCs w:val="24"/>
              </w:rPr>
              <w:t>June 2018</w:t>
            </w:r>
          </w:p>
        </w:tc>
        <w:tc>
          <w:tcPr>
            <w:tcW w:w="2220" w:type="dxa"/>
            <w:vAlign w:val="center"/>
          </w:tcPr>
          <w:p w14:paraId="344B5EBB" w14:textId="77777777" w:rsidR="00476CAB" w:rsidRDefault="00476CAB" w:rsidP="00476CAB">
            <w:pPr>
              <w:spacing w:before="60" w:after="60"/>
              <w:jc w:val="left"/>
              <w:rPr>
                <w:rFonts w:ascii="Arial Narrow" w:hAnsi="Arial Narrow" w:cs="Arial"/>
                <w:szCs w:val="24"/>
              </w:rPr>
            </w:pPr>
            <w:r>
              <w:rPr>
                <w:rFonts w:ascii="Arial Narrow" w:hAnsi="Arial Narrow" w:cs="Arial"/>
                <w:szCs w:val="24"/>
              </w:rPr>
              <w:t>Final Version 2017-2020</w:t>
            </w:r>
          </w:p>
        </w:tc>
        <w:tc>
          <w:tcPr>
            <w:tcW w:w="1843" w:type="dxa"/>
            <w:vAlign w:val="center"/>
          </w:tcPr>
          <w:p w14:paraId="4A7DFD01" w14:textId="77777777" w:rsidR="00476CAB" w:rsidRDefault="00476CAB" w:rsidP="00476CAB">
            <w:pPr>
              <w:spacing w:before="60" w:after="60"/>
              <w:jc w:val="left"/>
              <w:rPr>
                <w:rFonts w:ascii="Arial Narrow" w:hAnsi="Arial Narrow" w:cs="Arial"/>
                <w:szCs w:val="24"/>
              </w:rPr>
            </w:pPr>
            <w:r>
              <w:rPr>
                <w:rFonts w:ascii="Arial Narrow" w:hAnsi="Arial Narrow" w:cs="Arial"/>
                <w:szCs w:val="24"/>
              </w:rPr>
              <w:t>Asset Services</w:t>
            </w:r>
          </w:p>
        </w:tc>
        <w:tc>
          <w:tcPr>
            <w:tcW w:w="2162" w:type="dxa"/>
            <w:vAlign w:val="center"/>
          </w:tcPr>
          <w:p w14:paraId="5E5FFDBB" w14:textId="77777777" w:rsidR="00476CAB" w:rsidRDefault="00476CAB" w:rsidP="00476CAB">
            <w:pPr>
              <w:spacing w:before="60" w:after="60"/>
              <w:jc w:val="left"/>
              <w:rPr>
                <w:rFonts w:ascii="Arial Narrow" w:hAnsi="Arial Narrow" w:cs="Arial"/>
                <w:szCs w:val="24"/>
              </w:rPr>
            </w:pPr>
            <w:r>
              <w:rPr>
                <w:rFonts w:ascii="Arial Narrow" w:hAnsi="Arial Narrow" w:cs="Arial"/>
                <w:szCs w:val="24"/>
              </w:rPr>
              <w:t>Manager Engineering Services</w:t>
            </w:r>
          </w:p>
        </w:tc>
        <w:tc>
          <w:tcPr>
            <w:tcW w:w="1260" w:type="dxa"/>
            <w:vAlign w:val="center"/>
          </w:tcPr>
          <w:p w14:paraId="2395DE21" w14:textId="77777777" w:rsidR="00476CAB" w:rsidRDefault="00476CAB" w:rsidP="00476CAB">
            <w:pPr>
              <w:spacing w:before="60" w:after="60"/>
              <w:jc w:val="left"/>
              <w:rPr>
                <w:rFonts w:ascii="Arial Narrow" w:hAnsi="Arial Narrow" w:cs="Arial"/>
                <w:szCs w:val="24"/>
              </w:rPr>
            </w:pPr>
            <w:r>
              <w:rPr>
                <w:rFonts w:ascii="Arial Narrow" w:hAnsi="Arial Narrow" w:cs="Arial"/>
                <w:szCs w:val="24"/>
              </w:rPr>
              <w:t>Executive Group</w:t>
            </w:r>
          </w:p>
        </w:tc>
      </w:tr>
      <w:tr w:rsidR="00153C53" w:rsidRPr="00753FA6" w14:paraId="16E6ED68" w14:textId="77777777" w:rsidTr="00466608">
        <w:trPr>
          <w:cantSplit/>
        </w:trPr>
        <w:tc>
          <w:tcPr>
            <w:tcW w:w="931" w:type="dxa"/>
            <w:vAlign w:val="center"/>
          </w:tcPr>
          <w:p w14:paraId="49C7412C" w14:textId="77777777" w:rsidR="00153C53" w:rsidRDefault="00153C53" w:rsidP="00153C53">
            <w:pPr>
              <w:spacing w:before="60" w:after="60"/>
              <w:jc w:val="left"/>
              <w:rPr>
                <w:rFonts w:ascii="Arial Narrow" w:hAnsi="Arial Narrow" w:cs="Arial"/>
                <w:szCs w:val="24"/>
              </w:rPr>
            </w:pPr>
            <w:r>
              <w:rPr>
                <w:rFonts w:ascii="Arial Narrow" w:hAnsi="Arial Narrow" w:cs="Arial"/>
                <w:szCs w:val="24"/>
              </w:rPr>
              <w:t>5</w:t>
            </w:r>
          </w:p>
        </w:tc>
        <w:tc>
          <w:tcPr>
            <w:tcW w:w="1689" w:type="dxa"/>
            <w:vAlign w:val="center"/>
          </w:tcPr>
          <w:p w14:paraId="7C1C2141" w14:textId="28035150" w:rsidR="00153C53" w:rsidRDefault="00AE0B0E" w:rsidP="00153C53">
            <w:pPr>
              <w:spacing w:before="60" w:after="60"/>
              <w:jc w:val="left"/>
              <w:rPr>
                <w:rFonts w:ascii="Arial Narrow" w:hAnsi="Arial Narrow" w:cs="Arial"/>
                <w:szCs w:val="24"/>
              </w:rPr>
            </w:pPr>
            <w:r w:rsidRPr="00AE0B0E">
              <w:rPr>
                <w:rFonts w:ascii="Arial Narrow" w:hAnsi="Arial Narrow" w:cs="Arial"/>
                <w:szCs w:val="24"/>
              </w:rPr>
              <w:t>Sept 2021</w:t>
            </w:r>
          </w:p>
        </w:tc>
        <w:tc>
          <w:tcPr>
            <w:tcW w:w="2220" w:type="dxa"/>
            <w:vAlign w:val="center"/>
          </w:tcPr>
          <w:p w14:paraId="5E34A682" w14:textId="77777777" w:rsidR="00153C53" w:rsidDel="0020345B" w:rsidRDefault="00153C53" w:rsidP="00153C53">
            <w:pPr>
              <w:spacing w:before="60" w:after="60"/>
              <w:jc w:val="left"/>
              <w:rPr>
                <w:rFonts w:ascii="Arial Narrow" w:hAnsi="Arial Narrow" w:cs="Arial"/>
                <w:szCs w:val="24"/>
              </w:rPr>
            </w:pPr>
            <w:r>
              <w:rPr>
                <w:rFonts w:ascii="Arial Narrow" w:hAnsi="Arial Narrow" w:cs="Arial"/>
                <w:szCs w:val="24"/>
              </w:rPr>
              <w:t>Final Version 2020</w:t>
            </w:r>
            <w:r w:rsidR="00F43151">
              <w:rPr>
                <w:rFonts w:ascii="Arial Narrow" w:hAnsi="Arial Narrow" w:cs="Arial"/>
                <w:szCs w:val="24"/>
              </w:rPr>
              <w:t xml:space="preserve"> </w:t>
            </w:r>
            <w:r>
              <w:rPr>
                <w:rFonts w:ascii="Arial Narrow" w:hAnsi="Arial Narrow" w:cs="Arial"/>
                <w:szCs w:val="24"/>
              </w:rPr>
              <w:t>-2024</w:t>
            </w:r>
          </w:p>
        </w:tc>
        <w:tc>
          <w:tcPr>
            <w:tcW w:w="1843" w:type="dxa"/>
            <w:vAlign w:val="center"/>
          </w:tcPr>
          <w:p w14:paraId="24E4B8A6" w14:textId="77777777" w:rsidR="00153C53" w:rsidRDefault="00153C53" w:rsidP="00153C53">
            <w:pPr>
              <w:spacing w:before="60" w:after="60"/>
              <w:jc w:val="left"/>
              <w:rPr>
                <w:rFonts w:ascii="Arial Narrow" w:hAnsi="Arial Narrow" w:cs="Arial"/>
                <w:szCs w:val="24"/>
              </w:rPr>
            </w:pPr>
            <w:r>
              <w:rPr>
                <w:rFonts w:ascii="Arial Narrow" w:hAnsi="Arial Narrow" w:cs="Arial"/>
                <w:szCs w:val="24"/>
              </w:rPr>
              <w:t>Project &amp; Asset Services</w:t>
            </w:r>
          </w:p>
        </w:tc>
        <w:tc>
          <w:tcPr>
            <w:tcW w:w="2162" w:type="dxa"/>
            <w:vAlign w:val="center"/>
          </w:tcPr>
          <w:p w14:paraId="758C6F99" w14:textId="77777777" w:rsidR="00153C53" w:rsidRDefault="00EB104D" w:rsidP="00153C53">
            <w:pPr>
              <w:spacing w:before="60" w:after="60"/>
              <w:jc w:val="left"/>
              <w:rPr>
                <w:rFonts w:ascii="Arial Narrow" w:hAnsi="Arial Narrow" w:cs="Arial"/>
                <w:szCs w:val="24"/>
              </w:rPr>
            </w:pPr>
            <w:r>
              <w:rPr>
                <w:rFonts w:ascii="Arial Narrow" w:hAnsi="Arial Narrow" w:cs="Arial"/>
                <w:szCs w:val="24"/>
              </w:rPr>
              <w:t>Manager Engineering Services</w:t>
            </w:r>
          </w:p>
        </w:tc>
        <w:tc>
          <w:tcPr>
            <w:tcW w:w="1260" w:type="dxa"/>
            <w:vAlign w:val="center"/>
          </w:tcPr>
          <w:p w14:paraId="27A242BC" w14:textId="77777777" w:rsidR="00153C53" w:rsidRDefault="00EB104D" w:rsidP="00153C53">
            <w:pPr>
              <w:spacing w:before="60" w:after="60"/>
              <w:jc w:val="left"/>
              <w:rPr>
                <w:rFonts w:ascii="Arial Narrow" w:hAnsi="Arial Narrow" w:cs="Arial"/>
                <w:szCs w:val="24"/>
              </w:rPr>
            </w:pPr>
            <w:r>
              <w:rPr>
                <w:rFonts w:ascii="Arial Narrow" w:hAnsi="Arial Narrow" w:cs="Arial"/>
                <w:szCs w:val="24"/>
              </w:rPr>
              <w:t>Executive Committee (ExCo)</w:t>
            </w:r>
          </w:p>
        </w:tc>
      </w:tr>
    </w:tbl>
    <w:p w14:paraId="342E70B8" w14:textId="77777777" w:rsidR="00EB104D" w:rsidRPr="00EA4E9A" w:rsidRDefault="00EA4E9A" w:rsidP="00DE6746">
      <w:pPr>
        <w:pStyle w:val="BodyText"/>
        <w:spacing w:after="0"/>
        <w:rPr>
          <w:rFonts w:cs="Arial"/>
          <w:color w:val="0070C0"/>
          <w:szCs w:val="24"/>
        </w:rPr>
      </w:pPr>
      <w:bookmarkStart w:id="0" w:name="start"/>
      <w:bookmarkEnd w:id="0"/>
      <w:r>
        <w:rPr>
          <w:noProof/>
          <w:lang w:eastAsia="en-AU"/>
        </w:rPr>
        <w:lastRenderedPageBreak/>
        <mc:AlternateContent>
          <mc:Choice Requires="wps">
            <w:drawing>
              <wp:anchor distT="0" distB="0" distL="114300" distR="114300" simplePos="0" relativeHeight="251912704" behindDoc="0" locked="0" layoutInCell="1" allowOverlap="1" wp14:anchorId="6608CD8E" wp14:editId="7AC2B0FA">
                <wp:simplePos x="0" y="0"/>
                <wp:positionH relativeFrom="column">
                  <wp:posOffset>-186055</wp:posOffset>
                </wp:positionH>
                <wp:positionV relativeFrom="paragraph">
                  <wp:posOffset>-133350</wp:posOffset>
                </wp:positionV>
                <wp:extent cx="5702300" cy="10033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14:paraId="0AAFBAB5" w14:textId="77777777" w:rsidR="00140CAE" w:rsidRPr="009F6E1D" w:rsidRDefault="00140CAE" w:rsidP="00EA4E9A">
                            <w:pPr>
                              <w:spacing w:after="0" w:line="240" w:lineRule="auto"/>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129A6276" w14:textId="77777777" w:rsidR="00140CAE" w:rsidRPr="009F6E1D" w:rsidRDefault="00140CAE" w:rsidP="00EA4E9A">
                            <w:pPr>
                              <w:spacing w:after="0" w:line="240" w:lineRule="auto"/>
                              <w:rPr>
                                <w:rFonts w:ascii="Times New Roman" w:hAnsi="Times New Roman"/>
                              </w:rPr>
                            </w:pPr>
                            <w:r w:rsidRPr="009F6E1D">
                              <w:t>The Mayor</w:t>
                            </w:r>
                            <w:r w:rsidRPr="009F6E1D">
                              <w:rPr>
                                <w:color w:val="000000"/>
                              </w:rPr>
                              <w:t>, Councillors and staff of the City of Cockburn acknowledge the Whadjuk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CD8E" id="Text Box 2" o:spid="_x0000_s1027" type="#_x0000_t202" style="position:absolute;left:0;text-align:left;margin-left:-14.65pt;margin-top:-10.5pt;width:449pt;height:7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" fillcolor="#0078af" stroked="f" strokeweight=".5pt">
                <v:fill opacity="7196f"/>
                <v:textbox inset="5mm">
                  <w:txbxContent>
                    <w:p w14:paraId="0AAFBAB5" w14:textId="77777777" w:rsidR="00140CAE" w:rsidRPr="009F6E1D" w:rsidRDefault="00140CAE" w:rsidP="00EA4E9A">
                      <w:pPr>
                        <w:spacing w:after="0" w:line="240" w:lineRule="auto"/>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129A6276" w14:textId="77777777" w:rsidR="00140CAE" w:rsidRPr="009F6E1D" w:rsidRDefault="00140CAE" w:rsidP="00EA4E9A">
                      <w:pPr>
                        <w:spacing w:after="0" w:line="240" w:lineRule="auto"/>
                        <w:rPr>
                          <w:rFonts w:ascii="Times New Roman" w:hAnsi="Times New Roman"/>
                        </w:rPr>
                      </w:pPr>
                      <w:r w:rsidRPr="009F6E1D">
                        <w:t>The Mayor</w:t>
                      </w:r>
                      <w:r w:rsidRPr="009F6E1D">
                        <w:rPr>
                          <w:color w:val="000000"/>
                        </w:rPr>
                        <w:t>, Councillors and staff of the City of Cockburn acknowledge the Whadjuk Nyungar people of Beeliar boodja as the traditional custodians of this land. We pay our respect to the Elders, past, present and emerging.</w:t>
                      </w:r>
                    </w:p>
                  </w:txbxContent>
                </v:textbox>
              </v:shape>
            </w:pict>
          </mc:Fallback>
        </mc:AlternateContent>
      </w:r>
    </w:p>
    <w:p w14:paraId="74A716B0" w14:textId="77777777" w:rsidR="00EB104D" w:rsidRDefault="00EB104D" w:rsidP="00EB104D">
      <w:pPr>
        <w:pStyle w:val="BodyText"/>
      </w:pPr>
      <w:r>
        <w:br w:type="page"/>
      </w:r>
    </w:p>
    <w:p w14:paraId="491E4198" w14:textId="30825B76" w:rsidR="0078027F" w:rsidRPr="00EB104D" w:rsidRDefault="00140CAE" w:rsidP="00DE6746">
      <w:pPr>
        <w:pStyle w:val="BodyText"/>
        <w:spacing w:after="0"/>
        <w:rPr>
          <w:rFonts w:cs="Arial"/>
          <w:b/>
          <w:color w:val="0070C0"/>
          <w:szCs w:val="24"/>
        </w:rPr>
      </w:pPr>
      <w:r w:rsidRPr="00EB104D">
        <w:rPr>
          <w:rFonts w:cs="Arial"/>
          <w:b/>
          <w:color w:val="0070C0"/>
          <w:sz w:val="28"/>
          <w:szCs w:val="28"/>
        </w:rPr>
        <w:lastRenderedPageBreak/>
        <w:t xml:space="preserve">Table </w:t>
      </w:r>
      <w:proofErr w:type="gramStart"/>
      <w:r w:rsidRPr="00EB104D">
        <w:rPr>
          <w:rFonts w:cs="Arial"/>
          <w:b/>
          <w:color w:val="0070C0"/>
          <w:sz w:val="28"/>
          <w:szCs w:val="28"/>
        </w:rPr>
        <w:t>Of</w:t>
      </w:r>
      <w:proofErr w:type="gramEnd"/>
      <w:r w:rsidRPr="00EB104D">
        <w:rPr>
          <w:rFonts w:cs="Arial"/>
          <w:b/>
          <w:color w:val="0070C0"/>
          <w:sz w:val="28"/>
          <w:szCs w:val="28"/>
        </w:rPr>
        <w:t xml:space="preserve"> Contents</w:t>
      </w:r>
    </w:p>
    <w:p w14:paraId="28C72E2D" w14:textId="411D9626" w:rsidR="009F1C87" w:rsidRPr="00EB104D" w:rsidRDefault="00A4014C">
      <w:pPr>
        <w:pStyle w:val="TOC1"/>
        <w:rPr>
          <w:rFonts w:ascii="Arial" w:eastAsiaTheme="minorEastAsia" w:hAnsi="Arial" w:cs="Arial"/>
          <w:b w:val="0"/>
          <w:color w:val="auto"/>
          <w:szCs w:val="24"/>
          <w:lang w:eastAsia="en-AU"/>
        </w:rPr>
      </w:pPr>
      <w:r w:rsidRPr="00EB104D">
        <w:rPr>
          <w:rFonts w:ascii="Arial" w:hAnsi="Arial" w:cs="Arial"/>
          <w:szCs w:val="24"/>
        </w:rPr>
        <w:fldChar w:fldCharType="begin"/>
      </w:r>
      <w:r w:rsidR="0078027F" w:rsidRPr="00EB104D">
        <w:rPr>
          <w:rFonts w:ascii="Arial" w:hAnsi="Arial" w:cs="Arial"/>
          <w:szCs w:val="24"/>
        </w:rPr>
        <w:instrText xml:space="preserve"> TOC \o "1-3" \h \z \u </w:instrText>
      </w:r>
      <w:r w:rsidRPr="00EB104D">
        <w:rPr>
          <w:rFonts w:ascii="Arial" w:hAnsi="Arial" w:cs="Arial"/>
          <w:szCs w:val="24"/>
        </w:rPr>
        <w:fldChar w:fldCharType="separate"/>
      </w:r>
      <w:hyperlink w:anchor="_Toc56419047" w:history="1">
        <w:r w:rsidR="00140CAE" w:rsidRPr="00EB104D">
          <w:rPr>
            <w:rStyle w:val="Hyperlink"/>
            <w:rFonts w:ascii="Arial" w:hAnsi="Arial" w:cs="Arial"/>
            <w:szCs w:val="24"/>
          </w:rPr>
          <w:t>Glossary</w:t>
        </w:r>
        <w:r w:rsidR="00140CAE"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_Toc56419047 \h </w:instrText>
        </w:r>
        <w:r w:rsidR="009F1C87" w:rsidRPr="00EB104D">
          <w:rPr>
            <w:rFonts w:ascii="Arial" w:hAnsi="Arial" w:cs="Arial"/>
            <w:webHidden/>
            <w:szCs w:val="24"/>
          </w:rPr>
        </w:r>
        <w:r w:rsidR="009F1C87" w:rsidRPr="00EB104D">
          <w:rPr>
            <w:rFonts w:ascii="Arial" w:hAnsi="Arial" w:cs="Arial"/>
            <w:webHidden/>
            <w:szCs w:val="24"/>
          </w:rPr>
          <w:fldChar w:fldCharType="separate"/>
        </w:r>
        <w:r w:rsidR="00504229">
          <w:rPr>
            <w:rFonts w:ascii="Arial" w:hAnsi="Arial" w:cs="Arial"/>
            <w:webHidden/>
            <w:szCs w:val="24"/>
          </w:rPr>
          <w:t>i</w:t>
        </w:r>
        <w:r w:rsidR="009F1C87" w:rsidRPr="00EB104D">
          <w:rPr>
            <w:rFonts w:ascii="Arial" w:hAnsi="Arial" w:cs="Arial"/>
            <w:webHidden/>
            <w:szCs w:val="24"/>
          </w:rPr>
          <w:fldChar w:fldCharType="end"/>
        </w:r>
      </w:hyperlink>
    </w:p>
    <w:p w14:paraId="7C433289" w14:textId="231DF247" w:rsidR="009F1C87" w:rsidRPr="00EB104D" w:rsidRDefault="00504229">
      <w:pPr>
        <w:pStyle w:val="TOC1"/>
        <w:rPr>
          <w:rFonts w:ascii="Arial" w:eastAsiaTheme="minorEastAsia" w:hAnsi="Arial" w:cs="Arial"/>
          <w:b w:val="0"/>
          <w:color w:val="auto"/>
          <w:szCs w:val="24"/>
          <w:lang w:eastAsia="en-AU"/>
        </w:rPr>
      </w:pPr>
      <w:hyperlink w:anchor="_Toc56419048" w:history="1">
        <w:r w:rsidR="00140CAE" w:rsidRPr="00EB104D">
          <w:rPr>
            <w:rStyle w:val="Hyperlink"/>
            <w:rFonts w:ascii="Arial" w:hAnsi="Arial" w:cs="Arial"/>
            <w:szCs w:val="24"/>
          </w:rPr>
          <w:t>1.</w:t>
        </w:r>
        <w:r w:rsidR="00140CAE" w:rsidRPr="00EB104D">
          <w:rPr>
            <w:rFonts w:ascii="Arial" w:eastAsiaTheme="minorEastAsia" w:hAnsi="Arial" w:cs="Arial"/>
            <w:b w:val="0"/>
            <w:color w:val="auto"/>
            <w:szCs w:val="24"/>
            <w:lang w:eastAsia="en-AU"/>
          </w:rPr>
          <w:tab/>
        </w:r>
        <w:r w:rsidR="00140CAE" w:rsidRPr="00EB104D">
          <w:rPr>
            <w:rStyle w:val="Hyperlink"/>
            <w:rFonts w:ascii="Arial" w:hAnsi="Arial" w:cs="Arial"/>
            <w:szCs w:val="24"/>
          </w:rPr>
          <w:t xml:space="preserve">Executive </w:t>
        </w:r>
        <w:r w:rsidR="00140CAE">
          <w:rPr>
            <w:rStyle w:val="Hyperlink"/>
            <w:rFonts w:ascii="Arial" w:hAnsi="Arial" w:cs="Arial"/>
            <w:szCs w:val="24"/>
          </w:rPr>
          <w:t>S</w:t>
        </w:r>
        <w:r w:rsidR="00140CAE" w:rsidRPr="00EB104D">
          <w:rPr>
            <w:rStyle w:val="Hyperlink"/>
            <w:rFonts w:ascii="Arial" w:hAnsi="Arial" w:cs="Arial"/>
            <w:szCs w:val="24"/>
          </w:rPr>
          <w:t>ummary</w:t>
        </w:r>
        <w:r w:rsidR="00140CAE"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_Toc56419048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1</w:t>
        </w:r>
        <w:r w:rsidR="009F1C87" w:rsidRPr="00EB104D">
          <w:rPr>
            <w:rFonts w:ascii="Arial" w:hAnsi="Arial" w:cs="Arial"/>
            <w:webHidden/>
            <w:szCs w:val="24"/>
          </w:rPr>
          <w:fldChar w:fldCharType="end"/>
        </w:r>
      </w:hyperlink>
    </w:p>
    <w:p w14:paraId="38F6A8D5" w14:textId="2B2386A1" w:rsidR="009F1C87" w:rsidRPr="00EB104D" w:rsidRDefault="00504229">
      <w:pPr>
        <w:pStyle w:val="TOC1"/>
        <w:rPr>
          <w:rFonts w:ascii="Arial" w:eastAsiaTheme="minorEastAsia" w:hAnsi="Arial" w:cs="Arial"/>
          <w:b w:val="0"/>
          <w:color w:val="auto"/>
          <w:szCs w:val="24"/>
          <w:lang w:eastAsia="en-AU"/>
        </w:rPr>
      </w:pPr>
      <w:hyperlink w:anchor="_Toc56419049" w:history="1">
        <w:r w:rsidR="00140CAE" w:rsidRPr="00EB104D">
          <w:rPr>
            <w:rStyle w:val="Hyperlink"/>
            <w:rFonts w:ascii="Arial" w:hAnsi="Arial" w:cs="Arial"/>
            <w:szCs w:val="24"/>
          </w:rPr>
          <w:t>2.</w:t>
        </w:r>
        <w:r w:rsidR="00140CAE" w:rsidRPr="00EB104D">
          <w:rPr>
            <w:rFonts w:ascii="Arial" w:eastAsiaTheme="minorEastAsia" w:hAnsi="Arial" w:cs="Arial"/>
            <w:b w:val="0"/>
            <w:color w:val="auto"/>
            <w:szCs w:val="24"/>
            <w:lang w:eastAsia="en-AU"/>
          </w:rPr>
          <w:tab/>
        </w:r>
        <w:r w:rsidR="00140CAE" w:rsidRPr="00EB104D">
          <w:rPr>
            <w:rStyle w:val="Hyperlink"/>
            <w:rFonts w:ascii="Arial" w:hAnsi="Arial" w:cs="Arial"/>
            <w:szCs w:val="24"/>
          </w:rPr>
          <w:t>Introduction</w:t>
        </w:r>
        <w:r w:rsidR="00140CAE"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_Toc56419049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5</w:t>
        </w:r>
        <w:r w:rsidR="009F1C87" w:rsidRPr="00EB104D">
          <w:rPr>
            <w:rFonts w:ascii="Arial" w:hAnsi="Arial" w:cs="Arial"/>
            <w:webHidden/>
            <w:szCs w:val="24"/>
          </w:rPr>
          <w:fldChar w:fldCharType="end"/>
        </w:r>
      </w:hyperlink>
    </w:p>
    <w:p w14:paraId="69B7BEFB" w14:textId="04F84CE7" w:rsidR="009F1C87" w:rsidRPr="00EB104D" w:rsidRDefault="00504229">
      <w:pPr>
        <w:pStyle w:val="TOC2"/>
        <w:rPr>
          <w:rFonts w:eastAsiaTheme="minorEastAsia" w:cs="Arial"/>
          <w:noProof/>
          <w:szCs w:val="24"/>
          <w:lang w:eastAsia="en-AU"/>
        </w:rPr>
      </w:pPr>
      <w:hyperlink w:anchor="_Toc56419050" w:history="1">
        <w:r w:rsidR="009F1C87" w:rsidRPr="00EB104D">
          <w:rPr>
            <w:rStyle w:val="Hyperlink"/>
            <w:rFonts w:cs="Arial"/>
            <w:noProof/>
            <w:szCs w:val="24"/>
          </w:rPr>
          <w:t>2.1</w:t>
        </w:r>
        <w:r w:rsidR="009F1C87" w:rsidRPr="00EB104D">
          <w:rPr>
            <w:rFonts w:eastAsiaTheme="minorEastAsia" w:cs="Arial"/>
            <w:noProof/>
            <w:szCs w:val="24"/>
            <w:lang w:eastAsia="en-AU"/>
          </w:rPr>
          <w:tab/>
        </w:r>
        <w:r w:rsidR="009F1C87" w:rsidRPr="00EB104D">
          <w:rPr>
            <w:rStyle w:val="Hyperlink"/>
            <w:rFonts w:cs="Arial"/>
            <w:noProof/>
            <w:szCs w:val="24"/>
          </w:rPr>
          <w:t>Background</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w:t>
        </w:r>
        <w:r w:rsidR="009F1C87" w:rsidRPr="00EB104D">
          <w:rPr>
            <w:rFonts w:cs="Arial"/>
            <w:noProof/>
            <w:webHidden/>
            <w:szCs w:val="24"/>
          </w:rPr>
          <w:fldChar w:fldCharType="end"/>
        </w:r>
      </w:hyperlink>
    </w:p>
    <w:p w14:paraId="49268796" w14:textId="6B709839" w:rsidR="009F1C87" w:rsidRPr="00EB104D" w:rsidRDefault="00504229">
      <w:pPr>
        <w:pStyle w:val="TOC2"/>
        <w:rPr>
          <w:rFonts w:eastAsiaTheme="minorEastAsia" w:cs="Arial"/>
          <w:noProof/>
          <w:szCs w:val="24"/>
          <w:lang w:eastAsia="en-AU"/>
        </w:rPr>
      </w:pPr>
      <w:hyperlink w:anchor="_Toc56419051" w:history="1">
        <w:r w:rsidR="009F1C87" w:rsidRPr="00EB104D">
          <w:rPr>
            <w:rStyle w:val="Hyperlink"/>
            <w:rFonts w:cs="Arial"/>
            <w:noProof/>
            <w:szCs w:val="24"/>
          </w:rPr>
          <w:t>2.2</w:t>
        </w:r>
        <w:r w:rsidR="009F1C87" w:rsidRPr="00EB104D">
          <w:rPr>
            <w:rFonts w:eastAsiaTheme="minorEastAsia" w:cs="Arial"/>
            <w:noProof/>
            <w:szCs w:val="24"/>
            <w:lang w:eastAsia="en-AU"/>
          </w:rPr>
          <w:tab/>
        </w:r>
        <w:r w:rsidR="009F1C87" w:rsidRPr="00EB104D">
          <w:rPr>
            <w:rStyle w:val="Hyperlink"/>
            <w:rFonts w:cs="Arial"/>
            <w:noProof/>
            <w:szCs w:val="24"/>
          </w:rPr>
          <w:t>Goals and Objectives of Asset Management</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_Toc56419051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6</w:t>
        </w:r>
        <w:r w:rsidR="009F1C87" w:rsidRPr="00EB104D">
          <w:rPr>
            <w:rFonts w:cs="Arial"/>
            <w:noProof/>
            <w:webHidden/>
            <w:szCs w:val="24"/>
          </w:rPr>
          <w:fldChar w:fldCharType="end"/>
        </w:r>
      </w:hyperlink>
    </w:p>
    <w:p w14:paraId="662C6E9D" w14:textId="082F759E" w:rsidR="009F1C87" w:rsidRPr="00EB104D" w:rsidRDefault="00504229">
      <w:pPr>
        <w:pStyle w:val="TOC2"/>
        <w:rPr>
          <w:rFonts w:eastAsiaTheme="minorEastAsia" w:cs="Arial"/>
          <w:noProof/>
          <w:szCs w:val="24"/>
          <w:lang w:eastAsia="en-AU"/>
        </w:rPr>
      </w:pPr>
      <w:hyperlink w:anchor="_Toc56419052" w:history="1">
        <w:r w:rsidR="009F1C87" w:rsidRPr="00EB104D">
          <w:rPr>
            <w:rStyle w:val="Hyperlink"/>
            <w:rFonts w:cs="Arial"/>
            <w:noProof/>
            <w:szCs w:val="24"/>
          </w:rPr>
          <w:t>2.3</w:t>
        </w:r>
        <w:r w:rsidR="009F1C87" w:rsidRPr="00EB104D">
          <w:rPr>
            <w:rFonts w:eastAsiaTheme="minorEastAsia" w:cs="Arial"/>
            <w:noProof/>
            <w:szCs w:val="24"/>
            <w:lang w:eastAsia="en-AU"/>
          </w:rPr>
          <w:tab/>
        </w:r>
        <w:r w:rsidR="009F1C87" w:rsidRPr="00EB104D">
          <w:rPr>
            <w:rStyle w:val="Hyperlink"/>
            <w:rFonts w:cs="Arial"/>
            <w:noProof/>
            <w:szCs w:val="24"/>
          </w:rPr>
          <w:t>Plan Framework</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_Toc56419052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8</w:t>
        </w:r>
        <w:r w:rsidR="009F1C87" w:rsidRPr="00EB104D">
          <w:rPr>
            <w:rFonts w:cs="Arial"/>
            <w:noProof/>
            <w:webHidden/>
            <w:szCs w:val="24"/>
          </w:rPr>
          <w:fldChar w:fldCharType="end"/>
        </w:r>
      </w:hyperlink>
    </w:p>
    <w:p w14:paraId="519C772B" w14:textId="224E5D43" w:rsidR="009F1C87" w:rsidRPr="00EB104D" w:rsidRDefault="00504229">
      <w:pPr>
        <w:pStyle w:val="TOC2"/>
        <w:rPr>
          <w:rFonts w:eastAsiaTheme="minorEastAsia" w:cs="Arial"/>
          <w:noProof/>
          <w:szCs w:val="24"/>
          <w:lang w:eastAsia="en-AU"/>
        </w:rPr>
      </w:pPr>
      <w:hyperlink w:anchor="_Toc56419053" w:history="1">
        <w:r w:rsidR="009F1C87" w:rsidRPr="00EB104D">
          <w:rPr>
            <w:rStyle w:val="Hyperlink"/>
            <w:rFonts w:cs="Arial"/>
            <w:noProof/>
            <w:szCs w:val="24"/>
          </w:rPr>
          <w:t>2.4</w:t>
        </w:r>
        <w:r w:rsidR="009F1C87" w:rsidRPr="00EB104D">
          <w:rPr>
            <w:rFonts w:eastAsiaTheme="minorEastAsia" w:cs="Arial"/>
            <w:noProof/>
            <w:szCs w:val="24"/>
            <w:lang w:eastAsia="en-AU"/>
          </w:rPr>
          <w:tab/>
        </w:r>
        <w:r w:rsidR="009F1C87" w:rsidRPr="00EB104D">
          <w:rPr>
            <w:rStyle w:val="Hyperlink"/>
            <w:rFonts w:cs="Arial"/>
            <w:noProof/>
            <w:szCs w:val="24"/>
          </w:rPr>
          <w:t>Asset Management Maturity</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_Toc56419053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8</w:t>
        </w:r>
        <w:r w:rsidR="009F1C87" w:rsidRPr="00EB104D">
          <w:rPr>
            <w:rFonts w:cs="Arial"/>
            <w:noProof/>
            <w:webHidden/>
            <w:szCs w:val="24"/>
          </w:rPr>
          <w:fldChar w:fldCharType="end"/>
        </w:r>
      </w:hyperlink>
    </w:p>
    <w:p w14:paraId="7A94894E" w14:textId="0033EB86" w:rsidR="009F1C87" w:rsidRPr="00EB104D" w:rsidRDefault="00504229">
      <w:pPr>
        <w:pStyle w:val="TOC2"/>
        <w:rPr>
          <w:rFonts w:eastAsiaTheme="minorEastAsia" w:cs="Arial"/>
          <w:noProof/>
          <w:szCs w:val="24"/>
          <w:lang w:eastAsia="en-AU"/>
        </w:rPr>
      </w:pPr>
      <w:hyperlink w:anchor="_Toc56419054" w:history="1">
        <w:r w:rsidR="009F1C87" w:rsidRPr="00EB104D">
          <w:rPr>
            <w:rStyle w:val="Hyperlink"/>
            <w:rFonts w:cs="Arial"/>
            <w:noProof/>
            <w:szCs w:val="24"/>
          </w:rPr>
          <w:t>2.5</w:t>
        </w:r>
        <w:r w:rsidR="009F1C87" w:rsidRPr="00EB104D">
          <w:rPr>
            <w:rFonts w:eastAsiaTheme="minorEastAsia" w:cs="Arial"/>
            <w:noProof/>
            <w:szCs w:val="24"/>
            <w:lang w:eastAsia="en-AU"/>
          </w:rPr>
          <w:tab/>
        </w:r>
        <w:r w:rsidR="009F1C87" w:rsidRPr="00EB104D">
          <w:rPr>
            <w:rStyle w:val="Hyperlink"/>
            <w:rFonts w:cs="Arial"/>
            <w:noProof/>
            <w:szCs w:val="24"/>
          </w:rPr>
          <w:t>Asset Management Plan – Data confidence assessment</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10</w:t>
        </w:r>
        <w:r w:rsidR="009F1C87" w:rsidRPr="00EB104D">
          <w:rPr>
            <w:rFonts w:cs="Arial"/>
            <w:noProof/>
            <w:webHidden/>
            <w:szCs w:val="24"/>
          </w:rPr>
          <w:fldChar w:fldCharType="end"/>
        </w:r>
      </w:hyperlink>
    </w:p>
    <w:p w14:paraId="2F6469A0" w14:textId="2594DF37" w:rsidR="009F1C87" w:rsidRPr="00EB104D" w:rsidRDefault="00504229">
      <w:pPr>
        <w:pStyle w:val="TOC1"/>
        <w:rPr>
          <w:rFonts w:ascii="Arial" w:eastAsiaTheme="minorEastAsia" w:hAnsi="Arial" w:cs="Arial"/>
          <w:b w:val="0"/>
          <w:color w:val="auto"/>
          <w:szCs w:val="24"/>
          <w:lang w:eastAsia="en-AU"/>
        </w:rPr>
      </w:pPr>
      <w:hyperlink w:anchor="_Toc56419055" w:history="1">
        <w:r w:rsidR="009F1C87" w:rsidRPr="00EB104D">
          <w:rPr>
            <w:rStyle w:val="Hyperlink"/>
            <w:rFonts w:ascii="Arial" w:hAnsi="Arial" w:cs="Arial"/>
            <w:szCs w:val="24"/>
          </w:rPr>
          <w:t>3.</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LEVELS OF SERVICE</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_Toc56419055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12</w:t>
        </w:r>
        <w:r w:rsidR="009F1C87" w:rsidRPr="00EB104D">
          <w:rPr>
            <w:rFonts w:ascii="Arial" w:hAnsi="Arial" w:cs="Arial"/>
            <w:webHidden/>
            <w:szCs w:val="24"/>
          </w:rPr>
          <w:fldChar w:fldCharType="end"/>
        </w:r>
      </w:hyperlink>
    </w:p>
    <w:p w14:paraId="3A34F55E" w14:textId="5D027043" w:rsidR="009F1C87" w:rsidRPr="00EB104D" w:rsidRDefault="00504229">
      <w:pPr>
        <w:pStyle w:val="TOC2"/>
        <w:rPr>
          <w:rFonts w:eastAsiaTheme="minorEastAsia" w:cs="Arial"/>
          <w:noProof/>
          <w:szCs w:val="24"/>
          <w:lang w:eastAsia="en-AU"/>
        </w:rPr>
      </w:pPr>
      <w:hyperlink w:anchor="_Toc56419056" w:history="1">
        <w:r w:rsidR="009F1C87" w:rsidRPr="00EB104D">
          <w:rPr>
            <w:rStyle w:val="Hyperlink"/>
            <w:rFonts w:cs="Arial"/>
            <w:noProof/>
            <w:szCs w:val="24"/>
          </w:rPr>
          <w:t>3.1</w:t>
        </w:r>
        <w:r w:rsidR="009F1C87" w:rsidRPr="00EB104D">
          <w:rPr>
            <w:rFonts w:eastAsiaTheme="minorEastAsia" w:cs="Arial"/>
            <w:noProof/>
            <w:szCs w:val="24"/>
            <w:lang w:eastAsia="en-AU"/>
          </w:rPr>
          <w:tab/>
        </w:r>
        <w:r w:rsidR="009F1C87" w:rsidRPr="00EB104D">
          <w:rPr>
            <w:rStyle w:val="Hyperlink"/>
            <w:rFonts w:cs="Arial"/>
            <w:noProof/>
            <w:szCs w:val="24"/>
          </w:rPr>
          <w:t>Customer Research and Expectations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_Toc56419056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12</w:t>
        </w:r>
        <w:r w:rsidR="009F1C87" w:rsidRPr="00EB104D">
          <w:rPr>
            <w:rFonts w:cs="Arial"/>
            <w:noProof/>
            <w:webHidden/>
            <w:szCs w:val="24"/>
          </w:rPr>
          <w:fldChar w:fldCharType="end"/>
        </w:r>
      </w:hyperlink>
    </w:p>
    <w:p w14:paraId="1CB5F39D" w14:textId="40BEA1DE" w:rsidR="009F1C87" w:rsidRPr="00EB104D" w:rsidRDefault="00504229">
      <w:pPr>
        <w:pStyle w:val="TOC2"/>
        <w:rPr>
          <w:rFonts w:eastAsiaTheme="minorEastAsia" w:cs="Arial"/>
          <w:noProof/>
          <w:szCs w:val="24"/>
          <w:lang w:eastAsia="en-AU"/>
        </w:rPr>
      </w:pPr>
      <w:hyperlink w:anchor="_Toc56419057" w:history="1">
        <w:r w:rsidR="009F1C87" w:rsidRPr="00EB104D">
          <w:rPr>
            <w:rStyle w:val="Hyperlink"/>
            <w:rFonts w:cs="Arial"/>
            <w:noProof/>
            <w:szCs w:val="24"/>
          </w:rPr>
          <w:t xml:space="preserve">3.2 </w:t>
        </w:r>
        <w:r w:rsidR="009F1C87" w:rsidRPr="00EB104D">
          <w:rPr>
            <w:rFonts w:eastAsiaTheme="minorEastAsia" w:cs="Arial"/>
            <w:noProof/>
            <w:szCs w:val="24"/>
            <w:lang w:eastAsia="en-AU"/>
          </w:rPr>
          <w:tab/>
        </w:r>
        <w:r w:rsidR="009F1C87" w:rsidRPr="00EB104D">
          <w:rPr>
            <w:rStyle w:val="Hyperlink"/>
            <w:rFonts w:cs="Arial"/>
            <w:noProof/>
            <w:szCs w:val="24"/>
          </w:rPr>
          <w:t>Current Levels of Service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_Toc56419057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13</w:t>
        </w:r>
        <w:r w:rsidR="009F1C87" w:rsidRPr="00EB104D">
          <w:rPr>
            <w:rFonts w:cs="Arial"/>
            <w:noProof/>
            <w:webHidden/>
            <w:szCs w:val="24"/>
          </w:rPr>
          <w:fldChar w:fldCharType="end"/>
        </w:r>
      </w:hyperlink>
    </w:p>
    <w:p w14:paraId="0B4F870F" w14:textId="051FF91D" w:rsidR="009F1C87" w:rsidRPr="00EB104D" w:rsidRDefault="00504229">
      <w:pPr>
        <w:pStyle w:val="TOC2"/>
        <w:rPr>
          <w:rFonts w:eastAsiaTheme="minorEastAsia" w:cs="Arial"/>
          <w:noProof/>
          <w:szCs w:val="24"/>
          <w:lang w:eastAsia="en-AU"/>
        </w:rPr>
      </w:pPr>
      <w:hyperlink w:anchor="_Toc56419058" w:history="1">
        <w:r w:rsidR="009F1C87" w:rsidRPr="00EB104D">
          <w:rPr>
            <w:rStyle w:val="Hyperlink"/>
            <w:rFonts w:cs="Arial"/>
            <w:noProof/>
            <w:szCs w:val="24"/>
          </w:rPr>
          <w:t>3.3</w:t>
        </w:r>
        <w:r w:rsidR="009F1C87" w:rsidRPr="00EB104D">
          <w:rPr>
            <w:rFonts w:eastAsiaTheme="minorEastAsia" w:cs="Arial"/>
            <w:noProof/>
            <w:szCs w:val="24"/>
            <w:lang w:eastAsia="en-AU"/>
          </w:rPr>
          <w:tab/>
        </w:r>
        <w:r w:rsidR="009F1C87" w:rsidRPr="00EB104D">
          <w:rPr>
            <w:rStyle w:val="Hyperlink"/>
            <w:rFonts w:cs="Arial"/>
            <w:noProof/>
            <w:szCs w:val="24"/>
          </w:rPr>
          <w:t>Enterprise Risk Management</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_Toc56419058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15</w:t>
        </w:r>
        <w:r w:rsidR="009F1C87" w:rsidRPr="00EB104D">
          <w:rPr>
            <w:rFonts w:cs="Arial"/>
            <w:noProof/>
            <w:webHidden/>
            <w:szCs w:val="24"/>
          </w:rPr>
          <w:fldChar w:fldCharType="end"/>
        </w:r>
      </w:hyperlink>
    </w:p>
    <w:p w14:paraId="04FD06B2" w14:textId="5D330193" w:rsidR="009F1C87" w:rsidRPr="00EB104D" w:rsidRDefault="00504229">
      <w:pPr>
        <w:pStyle w:val="TOC2"/>
        <w:rPr>
          <w:rFonts w:eastAsiaTheme="minorEastAsia" w:cs="Arial"/>
          <w:noProof/>
          <w:szCs w:val="24"/>
          <w:lang w:eastAsia="en-AU"/>
        </w:rPr>
      </w:pPr>
      <w:hyperlink w:anchor="_Toc56419059" w:history="1">
        <w:r w:rsidR="009F1C87" w:rsidRPr="00EB104D">
          <w:rPr>
            <w:rStyle w:val="Hyperlink"/>
            <w:rFonts w:cs="Arial"/>
            <w:noProof/>
            <w:szCs w:val="24"/>
          </w:rPr>
          <w:t>3. 4</w:t>
        </w:r>
        <w:r w:rsidR="009F1C87" w:rsidRPr="00EB104D">
          <w:rPr>
            <w:rFonts w:eastAsiaTheme="minorEastAsia" w:cs="Arial"/>
            <w:noProof/>
            <w:szCs w:val="24"/>
            <w:lang w:eastAsia="en-AU"/>
          </w:rPr>
          <w:tab/>
        </w:r>
        <w:r w:rsidR="009F1C87" w:rsidRPr="00EB104D">
          <w:rPr>
            <w:rStyle w:val="Hyperlink"/>
            <w:rFonts w:cs="Arial"/>
            <w:noProof/>
            <w:szCs w:val="24"/>
          </w:rPr>
          <w:t>Legislative Requirements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_Toc56419059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18</w:t>
        </w:r>
        <w:r w:rsidR="009F1C87" w:rsidRPr="00EB104D">
          <w:rPr>
            <w:rFonts w:cs="Arial"/>
            <w:noProof/>
            <w:webHidden/>
            <w:szCs w:val="24"/>
          </w:rPr>
          <w:fldChar w:fldCharType="end"/>
        </w:r>
      </w:hyperlink>
    </w:p>
    <w:p w14:paraId="79F68FA3" w14:textId="3A5206C7" w:rsidR="009F1C87" w:rsidRPr="00EB104D" w:rsidRDefault="00504229">
      <w:pPr>
        <w:pStyle w:val="TOC2"/>
        <w:rPr>
          <w:rFonts w:eastAsiaTheme="minorEastAsia" w:cs="Arial"/>
          <w:noProof/>
          <w:szCs w:val="24"/>
          <w:lang w:eastAsia="en-AU"/>
        </w:rPr>
      </w:pPr>
      <w:hyperlink w:anchor="_Toc56419060" w:history="1">
        <w:r w:rsidR="009F1C87" w:rsidRPr="00EB104D">
          <w:rPr>
            <w:rStyle w:val="Hyperlink"/>
            <w:rFonts w:cs="Arial"/>
            <w:noProof/>
            <w:szCs w:val="24"/>
          </w:rPr>
          <w:t xml:space="preserve">3.5 </w:t>
        </w:r>
        <w:r w:rsidR="009F1C87" w:rsidRPr="00EB104D">
          <w:rPr>
            <w:rFonts w:eastAsiaTheme="minorEastAsia" w:cs="Arial"/>
            <w:noProof/>
            <w:szCs w:val="24"/>
            <w:lang w:eastAsia="en-AU"/>
          </w:rPr>
          <w:tab/>
        </w:r>
        <w:r w:rsidR="009F1C87" w:rsidRPr="00EB104D">
          <w:rPr>
            <w:rStyle w:val="Hyperlink"/>
            <w:rFonts w:cs="Arial"/>
            <w:noProof/>
            <w:szCs w:val="24"/>
          </w:rPr>
          <w:t>Asset Capacity and Performance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18</w:t>
        </w:r>
        <w:r w:rsidR="009F1C87" w:rsidRPr="00EB104D">
          <w:rPr>
            <w:rFonts w:cs="Arial"/>
            <w:noProof/>
            <w:webHidden/>
            <w:szCs w:val="24"/>
          </w:rPr>
          <w:fldChar w:fldCharType="end"/>
        </w:r>
      </w:hyperlink>
    </w:p>
    <w:p w14:paraId="02F14A2B" w14:textId="232B4DCD" w:rsidR="009F1C87" w:rsidRPr="00EB104D" w:rsidRDefault="00504229">
      <w:pPr>
        <w:pStyle w:val="TOC1"/>
        <w:rPr>
          <w:rFonts w:ascii="Arial" w:eastAsiaTheme="minorEastAsia" w:hAnsi="Arial" w:cs="Arial"/>
          <w:b w:val="0"/>
          <w:color w:val="auto"/>
          <w:szCs w:val="24"/>
          <w:lang w:eastAsia="en-AU"/>
        </w:rPr>
      </w:pPr>
      <w:hyperlink w:anchor="_Toc56419061" w:history="1">
        <w:r w:rsidR="009F1C87" w:rsidRPr="00EB104D">
          <w:rPr>
            <w:rStyle w:val="Hyperlink"/>
            <w:rFonts w:ascii="Arial" w:hAnsi="Arial" w:cs="Arial"/>
            <w:szCs w:val="24"/>
          </w:rPr>
          <w:t>4.</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FUTURE DEMAND</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_Toc56419061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19</w:t>
        </w:r>
        <w:r w:rsidR="009F1C87" w:rsidRPr="00EB104D">
          <w:rPr>
            <w:rFonts w:ascii="Arial" w:hAnsi="Arial" w:cs="Arial"/>
            <w:webHidden/>
            <w:szCs w:val="24"/>
          </w:rPr>
          <w:fldChar w:fldCharType="end"/>
        </w:r>
      </w:hyperlink>
    </w:p>
    <w:p w14:paraId="7DB70119" w14:textId="74AE8491" w:rsidR="009F1C87" w:rsidRPr="00EB104D" w:rsidRDefault="00504229">
      <w:pPr>
        <w:pStyle w:val="TOC2"/>
        <w:rPr>
          <w:rFonts w:eastAsiaTheme="minorEastAsia" w:cs="Arial"/>
          <w:noProof/>
          <w:szCs w:val="24"/>
          <w:lang w:eastAsia="en-AU"/>
        </w:rPr>
      </w:pPr>
      <w:hyperlink w:anchor="_Toc56419062" w:history="1">
        <w:r w:rsidR="009F1C87" w:rsidRPr="00EB104D">
          <w:rPr>
            <w:rStyle w:val="Hyperlink"/>
            <w:rFonts w:cs="Arial"/>
            <w:noProof/>
            <w:szCs w:val="24"/>
          </w:rPr>
          <w:t>4.1</w:t>
        </w:r>
        <w:r w:rsidR="009F1C87" w:rsidRPr="00EB104D">
          <w:rPr>
            <w:rFonts w:eastAsiaTheme="minorEastAsia" w:cs="Arial"/>
            <w:noProof/>
            <w:szCs w:val="24"/>
            <w:lang w:eastAsia="en-AU"/>
          </w:rPr>
          <w:tab/>
        </w:r>
        <w:r w:rsidR="009F1C87" w:rsidRPr="00EB104D">
          <w:rPr>
            <w:rStyle w:val="Hyperlink"/>
            <w:rFonts w:cs="Arial"/>
            <w:noProof/>
            <w:szCs w:val="24"/>
          </w:rPr>
          <w:t>Growth Forecast</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_Toc56419062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19</w:t>
        </w:r>
        <w:r w:rsidR="009F1C87" w:rsidRPr="00EB104D">
          <w:rPr>
            <w:rFonts w:cs="Arial"/>
            <w:noProof/>
            <w:webHidden/>
            <w:szCs w:val="24"/>
          </w:rPr>
          <w:fldChar w:fldCharType="end"/>
        </w:r>
      </w:hyperlink>
    </w:p>
    <w:p w14:paraId="70B2261A" w14:textId="0C359E45" w:rsidR="009F1C87" w:rsidRPr="00EB104D" w:rsidRDefault="00504229">
      <w:pPr>
        <w:pStyle w:val="TOC2"/>
        <w:rPr>
          <w:rFonts w:eastAsiaTheme="minorEastAsia" w:cs="Arial"/>
          <w:noProof/>
          <w:szCs w:val="24"/>
          <w:lang w:eastAsia="en-AU"/>
        </w:rPr>
      </w:pPr>
      <w:hyperlink w:anchor="_Toc56419063" w:history="1">
        <w:r w:rsidR="009F1C87" w:rsidRPr="00EB104D">
          <w:rPr>
            <w:rStyle w:val="Hyperlink"/>
            <w:rFonts w:cs="Arial"/>
            <w:noProof/>
            <w:szCs w:val="24"/>
          </w:rPr>
          <w:t>4.2</w:t>
        </w:r>
        <w:r w:rsidR="009F1C87" w:rsidRPr="00EB104D">
          <w:rPr>
            <w:rFonts w:eastAsiaTheme="minorEastAsia" w:cs="Arial"/>
            <w:noProof/>
            <w:szCs w:val="24"/>
            <w:lang w:eastAsia="en-AU"/>
          </w:rPr>
          <w:tab/>
        </w:r>
        <w:r w:rsidR="009F1C87" w:rsidRPr="00EB104D">
          <w:rPr>
            <w:rStyle w:val="Hyperlink"/>
            <w:rFonts w:cs="Arial"/>
            <w:noProof/>
            <w:szCs w:val="24"/>
          </w:rPr>
          <w:t>Changes in Technology</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_Toc56419063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20</w:t>
        </w:r>
        <w:r w:rsidR="009F1C87" w:rsidRPr="00EB104D">
          <w:rPr>
            <w:rFonts w:cs="Arial"/>
            <w:noProof/>
            <w:webHidden/>
            <w:szCs w:val="24"/>
          </w:rPr>
          <w:fldChar w:fldCharType="end"/>
        </w:r>
      </w:hyperlink>
    </w:p>
    <w:p w14:paraId="7D6C9453" w14:textId="6A3747A0" w:rsidR="009F1C87" w:rsidRPr="00EB104D" w:rsidRDefault="00504229">
      <w:pPr>
        <w:pStyle w:val="TOC2"/>
        <w:rPr>
          <w:rFonts w:eastAsiaTheme="minorEastAsia" w:cs="Arial"/>
          <w:noProof/>
          <w:szCs w:val="24"/>
          <w:lang w:eastAsia="en-AU"/>
        </w:rPr>
      </w:pPr>
      <w:hyperlink w:anchor="_Toc56419064" w:history="1">
        <w:r w:rsidR="009F1C87" w:rsidRPr="00EB104D">
          <w:rPr>
            <w:rStyle w:val="Hyperlink"/>
            <w:rFonts w:cs="Arial"/>
            <w:noProof/>
            <w:szCs w:val="24"/>
          </w:rPr>
          <w:t>4.3</w:t>
        </w:r>
        <w:r w:rsidR="009F1C87" w:rsidRPr="00EB104D">
          <w:rPr>
            <w:rFonts w:eastAsiaTheme="minorEastAsia" w:cs="Arial"/>
            <w:noProof/>
            <w:szCs w:val="24"/>
            <w:lang w:eastAsia="en-AU"/>
          </w:rPr>
          <w:tab/>
        </w:r>
        <w:r w:rsidR="009F1C87" w:rsidRPr="00EB104D">
          <w:rPr>
            <w:rStyle w:val="Hyperlink"/>
            <w:rFonts w:cs="Arial"/>
            <w:noProof/>
            <w:szCs w:val="24"/>
          </w:rPr>
          <w:t>Demand Management Plan</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20</w:t>
        </w:r>
        <w:r w:rsidR="009F1C87" w:rsidRPr="00EB104D">
          <w:rPr>
            <w:rFonts w:cs="Arial"/>
            <w:noProof/>
            <w:webHidden/>
            <w:szCs w:val="24"/>
          </w:rPr>
          <w:fldChar w:fldCharType="end"/>
        </w:r>
      </w:hyperlink>
    </w:p>
    <w:p w14:paraId="49832F1C" w14:textId="1F87C8CE" w:rsidR="009F1C87" w:rsidRPr="00EB104D" w:rsidRDefault="00504229">
      <w:pPr>
        <w:pStyle w:val="TOC2"/>
        <w:rPr>
          <w:rFonts w:eastAsiaTheme="minorEastAsia" w:cs="Arial"/>
          <w:noProof/>
          <w:szCs w:val="24"/>
          <w:lang w:eastAsia="en-AU"/>
        </w:rPr>
      </w:pPr>
      <w:hyperlink w:anchor="_Toc56419065" w:history="1">
        <w:r w:rsidR="009F1C87" w:rsidRPr="00EB104D">
          <w:rPr>
            <w:rStyle w:val="Hyperlink"/>
            <w:rFonts w:cs="Arial"/>
            <w:noProof/>
            <w:szCs w:val="24"/>
          </w:rPr>
          <w:t>4.4</w:t>
        </w:r>
        <w:r w:rsidR="009F1C87" w:rsidRPr="00EB104D">
          <w:rPr>
            <w:rFonts w:eastAsiaTheme="minorEastAsia" w:cs="Arial"/>
            <w:noProof/>
            <w:szCs w:val="24"/>
            <w:lang w:eastAsia="en-AU"/>
          </w:rPr>
          <w:tab/>
        </w:r>
        <w:r w:rsidR="009F1C87" w:rsidRPr="00EB104D">
          <w:rPr>
            <w:rStyle w:val="Hyperlink"/>
            <w:rFonts w:cs="Arial"/>
            <w:noProof/>
            <w:szCs w:val="24"/>
          </w:rPr>
          <w:t>New Assets from Growth</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_Toc56419065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22</w:t>
        </w:r>
        <w:r w:rsidR="009F1C87" w:rsidRPr="00EB104D">
          <w:rPr>
            <w:rFonts w:cs="Arial"/>
            <w:noProof/>
            <w:webHidden/>
            <w:szCs w:val="24"/>
          </w:rPr>
          <w:fldChar w:fldCharType="end"/>
        </w:r>
      </w:hyperlink>
    </w:p>
    <w:p w14:paraId="48B321DC" w14:textId="2D7A7718" w:rsidR="009F1C87" w:rsidRPr="00EB104D" w:rsidRDefault="00504229">
      <w:pPr>
        <w:pStyle w:val="TOC1"/>
        <w:rPr>
          <w:rFonts w:ascii="Arial" w:eastAsiaTheme="minorEastAsia" w:hAnsi="Arial" w:cs="Arial"/>
          <w:b w:val="0"/>
          <w:color w:val="auto"/>
          <w:szCs w:val="24"/>
          <w:lang w:eastAsia="en-AU"/>
        </w:rPr>
      </w:pPr>
      <w:hyperlink w:anchor="_Toc56419066" w:history="1">
        <w:r w:rsidR="009F1C87" w:rsidRPr="00EB104D">
          <w:rPr>
            <w:rStyle w:val="Hyperlink"/>
            <w:rFonts w:ascii="Arial" w:hAnsi="Arial" w:cs="Arial"/>
            <w:szCs w:val="24"/>
          </w:rPr>
          <w:t>5.</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LIFECYCLE MANAGEMENT</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_Toc56419066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24</w:t>
        </w:r>
        <w:r w:rsidR="009F1C87" w:rsidRPr="00EB104D">
          <w:rPr>
            <w:rFonts w:ascii="Arial" w:hAnsi="Arial" w:cs="Arial"/>
            <w:webHidden/>
            <w:szCs w:val="24"/>
          </w:rPr>
          <w:fldChar w:fldCharType="end"/>
        </w:r>
      </w:hyperlink>
    </w:p>
    <w:p w14:paraId="1B26C2DA" w14:textId="4594C074" w:rsidR="009F1C87" w:rsidRPr="00EB104D" w:rsidRDefault="00504229">
      <w:pPr>
        <w:pStyle w:val="TOC2"/>
        <w:rPr>
          <w:rFonts w:eastAsiaTheme="minorEastAsia" w:cs="Arial"/>
          <w:noProof/>
          <w:szCs w:val="24"/>
          <w:lang w:eastAsia="en-AU"/>
        </w:rPr>
      </w:pPr>
      <w:hyperlink w:anchor="_Toc56419067" w:history="1">
        <w:r w:rsidR="009F1C87" w:rsidRPr="00EB104D">
          <w:rPr>
            <w:rStyle w:val="Hyperlink"/>
            <w:rFonts w:cs="Arial"/>
            <w:noProof/>
            <w:szCs w:val="24"/>
          </w:rPr>
          <w:t>5.1</w:t>
        </w:r>
        <w:r w:rsidR="009F1C87" w:rsidRPr="00EB104D">
          <w:rPr>
            <w:rFonts w:eastAsiaTheme="minorEastAsia" w:cs="Arial"/>
            <w:noProof/>
            <w:szCs w:val="24"/>
            <w:lang w:eastAsia="en-AU"/>
          </w:rPr>
          <w:tab/>
        </w:r>
        <w:r w:rsidR="009F1C87" w:rsidRPr="00EB104D">
          <w:rPr>
            <w:rStyle w:val="Hyperlink"/>
            <w:rFonts w:cs="Arial"/>
            <w:noProof/>
            <w:szCs w:val="24"/>
          </w:rPr>
          <w:t>Asset Data</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_Toc56419067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24</w:t>
        </w:r>
        <w:r w:rsidR="009F1C87" w:rsidRPr="00EB104D">
          <w:rPr>
            <w:rFonts w:cs="Arial"/>
            <w:noProof/>
            <w:webHidden/>
            <w:szCs w:val="24"/>
          </w:rPr>
          <w:fldChar w:fldCharType="end"/>
        </w:r>
      </w:hyperlink>
    </w:p>
    <w:p w14:paraId="390DD513" w14:textId="25E7D8F1" w:rsidR="009F1C87" w:rsidRPr="00EB104D" w:rsidRDefault="00504229">
      <w:pPr>
        <w:pStyle w:val="TOC3"/>
        <w:rPr>
          <w:rFonts w:eastAsiaTheme="minorEastAsia" w:cs="Arial"/>
          <w:noProof/>
          <w:szCs w:val="24"/>
          <w:lang w:eastAsia="en-AU"/>
        </w:rPr>
      </w:pPr>
      <w:hyperlink w:anchor="_Toc56419068" w:history="1">
        <w:r w:rsidR="009F1C87" w:rsidRPr="00EB104D">
          <w:rPr>
            <w:rStyle w:val="Hyperlink"/>
            <w:rFonts w:cs="Arial"/>
            <w:noProof/>
            <w:szCs w:val="24"/>
          </w:rPr>
          <w:t>5.1.1</w:t>
        </w:r>
        <w:r w:rsidR="009F1C87" w:rsidRPr="00EB104D">
          <w:rPr>
            <w:rFonts w:eastAsiaTheme="minorEastAsia" w:cs="Arial"/>
            <w:noProof/>
            <w:szCs w:val="24"/>
            <w:lang w:eastAsia="en-AU"/>
          </w:rPr>
          <w:tab/>
        </w:r>
        <w:r w:rsidR="009F1C87" w:rsidRPr="00EB104D">
          <w:rPr>
            <w:rStyle w:val="Hyperlink"/>
            <w:rFonts w:cs="Arial"/>
            <w:noProof/>
            <w:szCs w:val="24"/>
          </w:rPr>
          <w:t>Asset Age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_Toc56419068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25</w:t>
        </w:r>
        <w:r w:rsidR="009F1C87" w:rsidRPr="00EB104D">
          <w:rPr>
            <w:rFonts w:cs="Arial"/>
            <w:noProof/>
            <w:webHidden/>
            <w:szCs w:val="24"/>
          </w:rPr>
          <w:fldChar w:fldCharType="end"/>
        </w:r>
      </w:hyperlink>
    </w:p>
    <w:p w14:paraId="62B4165D" w14:textId="55862735" w:rsidR="009F1C87" w:rsidRPr="00EB104D" w:rsidRDefault="00504229">
      <w:pPr>
        <w:pStyle w:val="TOC3"/>
        <w:rPr>
          <w:rFonts w:eastAsiaTheme="minorEastAsia" w:cs="Arial"/>
          <w:noProof/>
          <w:szCs w:val="24"/>
          <w:lang w:eastAsia="en-AU"/>
        </w:rPr>
      </w:pPr>
      <w:hyperlink w:anchor="_Toc56419069" w:history="1">
        <w:r w:rsidR="009F1C87" w:rsidRPr="00EB104D">
          <w:rPr>
            <w:rStyle w:val="Hyperlink"/>
            <w:rFonts w:cs="Arial"/>
            <w:noProof/>
            <w:szCs w:val="24"/>
          </w:rPr>
          <w:t>5.1.2</w:t>
        </w:r>
        <w:r w:rsidR="009F1C87" w:rsidRPr="00EB104D">
          <w:rPr>
            <w:rFonts w:eastAsiaTheme="minorEastAsia" w:cs="Arial"/>
            <w:noProof/>
            <w:szCs w:val="24"/>
            <w:lang w:eastAsia="en-AU"/>
          </w:rPr>
          <w:tab/>
        </w:r>
        <w:r w:rsidR="009F1C87" w:rsidRPr="00EB104D">
          <w:rPr>
            <w:rStyle w:val="Hyperlink"/>
            <w:rFonts w:cs="Arial"/>
            <w:noProof/>
            <w:szCs w:val="24"/>
          </w:rPr>
          <w:t>Asset condition</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_Toc56419069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26</w:t>
        </w:r>
        <w:r w:rsidR="009F1C87" w:rsidRPr="00EB104D">
          <w:rPr>
            <w:rFonts w:cs="Arial"/>
            <w:noProof/>
            <w:webHidden/>
            <w:szCs w:val="24"/>
          </w:rPr>
          <w:fldChar w:fldCharType="end"/>
        </w:r>
      </w:hyperlink>
    </w:p>
    <w:p w14:paraId="31CACD2C" w14:textId="52B47ED2" w:rsidR="009F1C87" w:rsidRPr="00EB104D" w:rsidRDefault="00504229">
      <w:pPr>
        <w:pStyle w:val="TOC3"/>
        <w:rPr>
          <w:rFonts w:eastAsiaTheme="minorEastAsia" w:cs="Arial"/>
          <w:noProof/>
          <w:szCs w:val="24"/>
          <w:lang w:eastAsia="en-AU"/>
        </w:rPr>
      </w:pPr>
      <w:hyperlink w:anchor="_Toc56419070" w:history="1">
        <w:r w:rsidR="009F1C87" w:rsidRPr="00EB104D">
          <w:rPr>
            <w:rStyle w:val="Hyperlink"/>
            <w:rFonts w:cs="Arial"/>
            <w:noProof/>
            <w:szCs w:val="24"/>
          </w:rPr>
          <w:t>5.1.3</w:t>
        </w:r>
        <w:r w:rsidR="009F1C87" w:rsidRPr="00EB104D">
          <w:rPr>
            <w:rFonts w:eastAsiaTheme="minorEastAsia" w:cs="Arial"/>
            <w:noProof/>
            <w:szCs w:val="24"/>
            <w:lang w:eastAsia="en-AU"/>
          </w:rPr>
          <w:tab/>
        </w:r>
        <w:r w:rsidR="009F1C87" w:rsidRPr="00EB104D">
          <w:rPr>
            <w:rStyle w:val="Hyperlink"/>
            <w:rFonts w:cs="Arial"/>
            <w:noProof/>
            <w:szCs w:val="24"/>
          </w:rPr>
          <w:t>Useful life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30</w:t>
        </w:r>
        <w:r w:rsidR="009F1C87" w:rsidRPr="00EB104D">
          <w:rPr>
            <w:rFonts w:cs="Arial"/>
            <w:noProof/>
            <w:webHidden/>
            <w:szCs w:val="24"/>
          </w:rPr>
          <w:fldChar w:fldCharType="end"/>
        </w:r>
      </w:hyperlink>
    </w:p>
    <w:p w14:paraId="4C2DCD3A" w14:textId="414DF913" w:rsidR="009F1C87" w:rsidRPr="00EB104D" w:rsidRDefault="00504229">
      <w:pPr>
        <w:pStyle w:val="TOC3"/>
        <w:rPr>
          <w:rFonts w:eastAsiaTheme="minorEastAsia" w:cs="Arial"/>
          <w:noProof/>
          <w:szCs w:val="24"/>
          <w:lang w:eastAsia="en-AU"/>
        </w:rPr>
      </w:pPr>
      <w:hyperlink w:anchor="_Toc56419071" w:history="1">
        <w:r w:rsidR="009F1C87" w:rsidRPr="00EB104D">
          <w:rPr>
            <w:rStyle w:val="Hyperlink"/>
            <w:rFonts w:cs="Arial"/>
            <w:noProof/>
            <w:szCs w:val="24"/>
          </w:rPr>
          <w:t>5.1.4</w:t>
        </w:r>
        <w:r w:rsidR="009F1C87" w:rsidRPr="00EB104D">
          <w:rPr>
            <w:rFonts w:eastAsiaTheme="minorEastAsia" w:cs="Arial"/>
            <w:noProof/>
            <w:szCs w:val="24"/>
            <w:lang w:eastAsia="en-AU"/>
          </w:rPr>
          <w:tab/>
        </w:r>
        <w:r w:rsidR="009F1C87" w:rsidRPr="00EB104D">
          <w:rPr>
            <w:rStyle w:val="Hyperlink"/>
            <w:rFonts w:cs="Arial"/>
            <w:noProof/>
            <w:szCs w:val="24"/>
          </w:rPr>
          <w:t>Asset Valuations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_Toc56419071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32</w:t>
        </w:r>
        <w:r w:rsidR="009F1C87" w:rsidRPr="00EB104D">
          <w:rPr>
            <w:rFonts w:cs="Arial"/>
            <w:noProof/>
            <w:webHidden/>
            <w:szCs w:val="24"/>
          </w:rPr>
          <w:fldChar w:fldCharType="end"/>
        </w:r>
      </w:hyperlink>
    </w:p>
    <w:p w14:paraId="14270569" w14:textId="6170800A" w:rsidR="009F1C87" w:rsidRPr="00EB104D" w:rsidRDefault="00504229">
      <w:pPr>
        <w:pStyle w:val="TOC2"/>
        <w:rPr>
          <w:rFonts w:eastAsiaTheme="minorEastAsia" w:cs="Arial"/>
          <w:noProof/>
          <w:szCs w:val="24"/>
          <w:lang w:eastAsia="en-AU"/>
        </w:rPr>
      </w:pPr>
      <w:hyperlink w:anchor="_Toc56419072" w:history="1">
        <w:r w:rsidR="009F1C87" w:rsidRPr="00EB104D">
          <w:rPr>
            <w:rStyle w:val="Hyperlink"/>
            <w:rFonts w:cs="Arial"/>
            <w:noProof/>
            <w:szCs w:val="24"/>
          </w:rPr>
          <w:t>5.2</w:t>
        </w:r>
        <w:r w:rsidR="009F1C87" w:rsidRPr="00EB104D">
          <w:rPr>
            <w:rFonts w:eastAsiaTheme="minorEastAsia" w:cs="Arial"/>
            <w:noProof/>
            <w:szCs w:val="24"/>
            <w:lang w:eastAsia="en-AU"/>
          </w:rPr>
          <w:tab/>
        </w:r>
        <w:r w:rsidR="009F1C87" w:rsidRPr="00EB104D">
          <w:rPr>
            <w:rStyle w:val="Hyperlink"/>
            <w:rFonts w:cs="Arial"/>
            <w:noProof/>
            <w:szCs w:val="24"/>
          </w:rPr>
          <w:t>Maintenance and Operating expenditure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_Toc56419072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34</w:t>
        </w:r>
        <w:r w:rsidR="009F1C87" w:rsidRPr="00EB104D">
          <w:rPr>
            <w:rFonts w:cs="Arial"/>
            <w:noProof/>
            <w:webHidden/>
            <w:szCs w:val="24"/>
          </w:rPr>
          <w:fldChar w:fldCharType="end"/>
        </w:r>
      </w:hyperlink>
    </w:p>
    <w:p w14:paraId="380750BB" w14:textId="23B86218" w:rsidR="009F1C87" w:rsidRPr="00EB104D" w:rsidRDefault="00504229">
      <w:pPr>
        <w:pStyle w:val="TOC3"/>
        <w:rPr>
          <w:rFonts w:eastAsiaTheme="minorEastAsia" w:cs="Arial"/>
          <w:noProof/>
          <w:szCs w:val="24"/>
          <w:lang w:eastAsia="en-AU"/>
        </w:rPr>
      </w:pPr>
      <w:hyperlink w:anchor="_Toc56419073" w:history="1">
        <w:r w:rsidR="009F1C87" w:rsidRPr="00EB104D">
          <w:rPr>
            <w:rStyle w:val="Hyperlink"/>
            <w:rFonts w:cs="Arial"/>
            <w:noProof/>
            <w:szCs w:val="24"/>
          </w:rPr>
          <w:t>5.2.1</w:t>
        </w:r>
        <w:r w:rsidR="009F1C87" w:rsidRPr="00EB104D">
          <w:rPr>
            <w:rFonts w:eastAsiaTheme="minorEastAsia" w:cs="Arial"/>
            <w:noProof/>
            <w:szCs w:val="24"/>
            <w:lang w:eastAsia="en-AU"/>
          </w:rPr>
          <w:tab/>
        </w:r>
        <w:r w:rsidR="009F1C87" w:rsidRPr="00EB104D">
          <w:rPr>
            <w:rStyle w:val="Hyperlink"/>
            <w:rFonts w:cs="Arial"/>
            <w:noProof/>
            <w:szCs w:val="24"/>
          </w:rPr>
          <w:t>Summary of future maintenance expenditures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_Toc56419073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35</w:t>
        </w:r>
        <w:r w:rsidR="009F1C87" w:rsidRPr="00EB104D">
          <w:rPr>
            <w:rFonts w:cs="Arial"/>
            <w:noProof/>
            <w:webHidden/>
            <w:szCs w:val="24"/>
          </w:rPr>
          <w:fldChar w:fldCharType="end"/>
        </w:r>
      </w:hyperlink>
    </w:p>
    <w:p w14:paraId="0BB0E9A2" w14:textId="25445F64" w:rsidR="009F1C87" w:rsidRPr="00EB104D" w:rsidRDefault="00504229">
      <w:pPr>
        <w:pStyle w:val="TOC3"/>
        <w:rPr>
          <w:rFonts w:eastAsiaTheme="minorEastAsia" w:cs="Arial"/>
          <w:noProof/>
          <w:szCs w:val="24"/>
          <w:lang w:eastAsia="en-AU"/>
        </w:rPr>
      </w:pPr>
      <w:hyperlink w:anchor="_Toc56419074" w:history="1">
        <w:r w:rsidR="009F1C87" w:rsidRPr="00EB104D">
          <w:rPr>
            <w:rStyle w:val="Hyperlink"/>
            <w:rFonts w:cs="Arial"/>
            <w:noProof/>
            <w:szCs w:val="24"/>
          </w:rPr>
          <w:t>5.2.2</w:t>
        </w:r>
        <w:r w:rsidR="009F1C87" w:rsidRPr="00EB104D">
          <w:rPr>
            <w:rFonts w:eastAsiaTheme="minorEastAsia" w:cs="Arial"/>
            <w:noProof/>
            <w:szCs w:val="24"/>
            <w:lang w:eastAsia="en-AU"/>
          </w:rPr>
          <w:tab/>
        </w:r>
        <w:r w:rsidR="009F1C87" w:rsidRPr="00EB104D">
          <w:rPr>
            <w:rStyle w:val="Hyperlink"/>
            <w:rFonts w:cs="Arial"/>
            <w:noProof/>
            <w:szCs w:val="24"/>
          </w:rPr>
          <w:t>Standards and specifications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35</w:t>
        </w:r>
        <w:r w:rsidR="009F1C87" w:rsidRPr="00EB104D">
          <w:rPr>
            <w:rFonts w:cs="Arial"/>
            <w:noProof/>
            <w:webHidden/>
            <w:szCs w:val="24"/>
          </w:rPr>
          <w:fldChar w:fldCharType="end"/>
        </w:r>
      </w:hyperlink>
    </w:p>
    <w:p w14:paraId="1CFF9B35" w14:textId="2FA3C7E3" w:rsidR="009F1C87" w:rsidRPr="00EB104D" w:rsidRDefault="00504229">
      <w:pPr>
        <w:pStyle w:val="TOC2"/>
        <w:rPr>
          <w:rFonts w:eastAsiaTheme="minorEastAsia" w:cs="Arial"/>
          <w:noProof/>
          <w:szCs w:val="24"/>
          <w:lang w:eastAsia="en-AU"/>
        </w:rPr>
      </w:pPr>
      <w:hyperlink w:anchor="_Toc56419075" w:history="1">
        <w:r w:rsidR="009F1C87" w:rsidRPr="00EB104D">
          <w:rPr>
            <w:rStyle w:val="Hyperlink"/>
            <w:rFonts w:cs="Arial"/>
            <w:noProof/>
            <w:szCs w:val="24"/>
          </w:rPr>
          <w:t>5.3</w:t>
        </w:r>
        <w:r w:rsidR="009F1C87" w:rsidRPr="00EB104D">
          <w:rPr>
            <w:rFonts w:eastAsiaTheme="minorEastAsia" w:cs="Arial"/>
            <w:noProof/>
            <w:szCs w:val="24"/>
            <w:lang w:eastAsia="en-AU"/>
          </w:rPr>
          <w:tab/>
        </w:r>
        <w:r w:rsidR="009F1C87" w:rsidRPr="00EB104D">
          <w:rPr>
            <w:rStyle w:val="Hyperlink"/>
            <w:rFonts w:cs="Arial"/>
            <w:noProof/>
            <w:szCs w:val="24"/>
          </w:rPr>
          <w:t>Renewal and Replacement Plan</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_Toc56419075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35</w:t>
        </w:r>
        <w:r w:rsidR="009F1C87" w:rsidRPr="00EB104D">
          <w:rPr>
            <w:rFonts w:cs="Arial"/>
            <w:noProof/>
            <w:webHidden/>
            <w:szCs w:val="24"/>
          </w:rPr>
          <w:fldChar w:fldCharType="end"/>
        </w:r>
      </w:hyperlink>
    </w:p>
    <w:p w14:paraId="14F2124E" w14:textId="37D246D3" w:rsidR="009F1C87" w:rsidRPr="00EB104D" w:rsidRDefault="00504229">
      <w:pPr>
        <w:pStyle w:val="TOC3"/>
        <w:rPr>
          <w:rFonts w:eastAsiaTheme="minorEastAsia" w:cs="Arial"/>
          <w:noProof/>
          <w:szCs w:val="24"/>
          <w:lang w:eastAsia="en-AU"/>
        </w:rPr>
      </w:pPr>
      <w:hyperlink w:anchor="_Toc56419076" w:history="1">
        <w:r w:rsidR="009F1C87" w:rsidRPr="00EB104D">
          <w:rPr>
            <w:rStyle w:val="Hyperlink"/>
            <w:rFonts w:cs="Arial"/>
            <w:noProof/>
            <w:szCs w:val="24"/>
          </w:rPr>
          <w:t>5.3.1</w:t>
        </w:r>
        <w:r w:rsidR="009F1C87" w:rsidRPr="00EB104D">
          <w:rPr>
            <w:rFonts w:eastAsiaTheme="minorEastAsia" w:cs="Arial"/>
            <w:noProof/>
            <w:szCs w:val="24"/>
            <w:lang w:eastAsia="en-AU"/>
          </w:rPr>
          <w:tab/>
        </w:r>
        <w:r w:rsidR="009F1C87" w:rsidRPr="00EB104D">
          <w:rPr>
            <w:rStyle w:val="Hyperlink"/>
            <w:rFonts w:cs="Arial"/>
            <w:noProof/>
            <w:szCs w:val="24"/>
          </w:rPr>
          <w:t>Renewal plan - Footpaths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_Toc56419076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35</w:t>
        </w:r>
        <w:r w:rsidR="009F1C87" w:rsidRPr="00EB104D">
          <w:rPr>
            <w:rFonts w:cs="Arial"/>
            <w:noProof/>
            <w:webHidden/>
            <w:szCs w:val="24"/>
          </w:rPr>
          <w:fldChar w:fldCharType="end"/>
        </w:r>
      </w:hyperlink>
    </w:p>
    <w:p w14:paraId="25B4E9D8" w14:textId="5C7FE83E" w:rsidR="009F1C87" w:rsidRPr="00EB104D" w:rsidRDefault="00504229">
      <w:pPr>
        <w:pStyle w:val="TOC2"/>
        <w:rPr>
          <w:rFonts w:eastAsiaTheme="minorEastAsia" w:cs="Arial"/>
          <w:noProof/>
          <w:szCs w:val="24"/>
          <w:lang w:eastAsia="en-AU"/>
        </w:rPr>
      </w:pPr>
      <w:hyperlink w:anchor="_Toc56419077" w:history="1">
        <w:r w:rsidR="009F1C87" w:rsidRPr="00EB104D">
          <w:rPr>
            <w:rStyle w:val="Hyperlink"/>
            <w:rFonts w:cs="Arial"/>
            <w:noProof/>
            <w:szCs w:val="24"/>
          </w:rPr>
          <w:t>5.4</w:t>
        </w:r>
        <w:r w:rsidR="009F1C87" w:rsidRPr="00EB104D">
          <w:rPr>
            <w:rFonts w:eastAsiaTheme="minorEastAsia" w:cs="Arial"/>
            <w:noProof/>
            <w:szCs w:val="24"/>
            <w:lang w:eastAsia="en-AU"/>
          </w:rPr>
          <w:tab/>
        </w:r>
        <w:r w:rsidR="009F1C87" w:rsidRPr="00EB104D">
          <w:rPr>
            <w:rStyle w:val="Hyperlink"/>
            <w:rFonts w:cs="Arial"/>
            <w:noProof/>
            <w:szCs w:val="24"/>
          </w:rPr>
          <w:t>New and Upgrade Plan</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_Toc56419077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36</w:t>
        </w:r>
        <w:r w:rsidR="009F1C87" w:rsidRPr="00EB104D">
          <w:rPr>
            <w:rFonts w:cs="Arial"/>
            <w:noProof/>
            <w:webHidden/>
            <w:szCs w:val="24"/>
          </w:rPr>
          <w:fldChar w:fldCharType="end"/>
        </w:r>
      </w:hyperlink>
    </w:p>
    <w:p w14:paraId="287BBD17" w14:textId="636F2F3B" w:rsidR="009F1C87" w:rsidRPr="00EB104D" w:rsidRDefault="00504229">
      <w:pPr>
        <w:pStyle w:val="TOC3"/>
        <w:rPr>
          <w:rFonts w:eastAsiaTheme="minorEastAsia" w:cs="Arial"/>
          <w:noProof/>
          <w:szCs w:val="24"/>
          <w:lang w:eastAsia="en-AU"/>
        </w:rPr>
      </w:pPr>
      <w:hyperlink w:anchor="_Toc56419078" w:history="1">
        <w:r w:rsidR="009F1C87" w:rsidRPr="00EB104D">
          <w:rPr>
            <w:rStyle w:val="Hyperlink"/>
            <w:rFonts w:cs="Arial"/>
            <w:noProof/>
            <w:szCs w:val="24"/>
          </w:rPr>
          <w:t>5.4.1</w:t>
        </w:r>
        <w:r w:rsidR="009F1C87" w:rsidRPr="00EB104D">
          <w:rPr>
            <w:rFonts w:eastAsiaTheme="minorEastAsia" w:cs="Arial"/>
            <w:noProof/>
            <w:szCs w:val="24"/>
            <w:lang w:eastAsia="en-AU"/>
          </w:rPr>
          <w:tab/>
        </w:r>
        <w:r w:rsidR="009F1C87" w:rsidRPr="00EB104D">
          <w:rPr>
            <w:rStyle w:val="Hyperlink"/>
            <w:rFonts w:cs="Arial"/>
            <w:noProof/>
            <w:szCs w:val="24"/>
          </w:rPr>
          <w:t>Summary of future upgrade/new assets expenditure</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_Toc56419078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36</w:t>
        </w:r>
        <w:r w:rsidR="009F1C87" w:rsidRPr="00EB104D">
          <w:rPr>
            <w:rFonts w:cs="Arial"/>
            <w:noProof/>
            <w:webHidden/>
            <w:szCs w:val="24"/>
          </w:rPr>
          <w:fldChar w:fldCharType="end"/>
        </w:r>
      </w:hyperlink>
    </w:p>
    <w:p w14:paraId="2E11E8FC" w14:textId="643A77B8" w:rsidR="009F1C87" w:rsidRPr="00EB104D" w:rsidRDefault="00504229">
      <w:pPr>
        <w:pStyle w:val="TOC2"/>
        <w:rPr>
          <w:rFonts w:eastAsiaTheme="minorEastAsia" w:cs="Arial"/>
          <w:noProof/>
          <w:szCs w:val="24"/>
          <w:lang w:eastAsia="en-AU"/>
        </w:rPr>
      </w:pPr>
      <w:hyperlink w:anchor="_Toc56419079" w:history="1">
        <w:r w:rsidR="009F1C87" w:rsidRPr="00EB104D">
          <w:rPr>
            <w:rStyle w:val="Hyperlink"/>
            <w:rFonts w:cs="Arial"/>
            <w:noProof/>
            <w:szCs w:val="24"/>
          </w:rPr>
          <w:t>5.5</w:t>
        </w:r>
        <w:r w:rsidR="009F1C87" w:rsidRPr="00EB104D">
          <w:rPr>
            <w:rFonts w:eastAsiaTheme="minorEastAsia" w:cs="Arial"/>
            <w:noProof/>
            <w:szCs w:val="24"/>
            <w:lang w:eastAsia="en-AU"/>
          </w:rPr>
          <w:tab/>
        </w:r>
        <w:r w:rsidR="009F1C87" w:rsidRPr="00EB104D">
          <w:rPr>
            <w:rStyle w:val="Hyperlink"/>
            <w:rFonts w:cs="Arial"/>
            <w:noProof/>
            <w:szCs w:val="24"/>
          </w:rPr>
          <w:t>Disposal Plan</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_Toc56419079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37</w:t>
        </w:r>
        <w:r w:rsidR="009F1C87" w:rsidRPr="00EB104D">
          <w:rPr>
            <w:rFonts w:cs="Arial"/>
            <w:noProof/>
            <w:webHidden/>
            <w:szCs w:val="24"/>
          </w:rPr>
          <w:fldChar w:fldCharType="end"/>
        </w:r>
      </w:hyperlink>
    </w:p>
    <w:p w14:paraId="0023C5EC" w14:textId="20B452D0" w:rsidR="009F1C87" w:rsidRPr="00EB104D" w:rsidRDefault="00504229">
      <w:pPr>
        <w:pStyle w:val="TOC1"/>
        <w:rPr>
          <w:rFonts w:ascii="Arial" w:eastAsiaTheme="minorEastAsia" w:hAnsi="Arial" w:cs="Arial"/>
          <w:b w:val="0"/>
          <w:color w:val="auto"/>
          <w:szCs w:val="24"/>
          <w:lang w:eastAsia="en-AU"/>
        </w:rPr>
      </w:pPr>
      <w:hyperlink w:anchor="_Toc56419080" w:history="1">
        <w:r w:rsidR="009F1C87" w:rsidRPr="00EB104D">
          <w:rPr>
            <w:rStyle w:val="Hyperlink"/>
            <w:rFonts w:ascii="Arial" w:hAnsi="Arial" w:cs="Arial"/>
            <w:szCs w:val="24"/>
          </w:rPr>
          <w:t>6.</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FINANCIAL ANALYSIS</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_Toc56419080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38</w:t>
        </w:r>
        <w:r w:rsidR="009F1C87" w:rsidRPr="00EB104D">
          <w:rPr>
            <w:rFonts w:ascii="Arial" w:hAnsi="Arial" w:cs="Arial"/>
            <w:webHidden/>
            <w:szCs w:val="24"/>
          </w:rPr>
          <w:fldChar w:fldCharType="end"/>
        </w:r>
      </w:hyperlink>
    </w:p>
    <w:p w14:paraId="776C8EF3" w14:textId="7C671193" w:rsidR="009F1C87" w:rsidRPr="00EB104D" w:rsidRDefault="00504229">
      <w:pPr>
        <w:pStyle w:val="TOC2"/>
        <w:rPr>
          <w:rFonts w:eastAsiaTheme="minorEastAsia" w:cs="Arial"/>
          <w:noProof/>
          <w:szCs w:val="24"/>
          <w:lang w:eastAsia="en-AU"/>
        </w:rPr>
      </w:pPr>
      <w:hyperlink w:anchor="_Toc56419081" w:history="1">
        <w:r w:rsidR="009F1C87" w:rsidRPr="00EB104D">
          <w:rPr>
            <w:rStyle w:val="Hyperlink"/>
            <w:rFonts w:cs="Arial"/>
            <w:noProof/>
            <w:szCs w:val="24"/>
          </w:rPr>
          <w:t>6.1</w:t>
        </w:r>
        <w:r w:rsidR="009F1C87" w:rsidRPr="00EB104D">
          <w:rPr>
            <w:rFonts w:eastAsiaTheme="minorEastAsia" w:cs="Arial"/>
            <w:noProof/>
            <w:szCs w:val="24"/>
            <w:lang w:eastAsia="en-AU"/>
          </w:rPr>
          <w:tab/>
        </w:r>
        <w:r w:rsidR="009F1C87" w:rsidRPr="00EB104D">
          <w:rPr>
            <w:rStyle w:val="Hyperlink"/>
            <w:rFonts w:cs="Arial"/>
            <w:noProof/>
            <w:szCs w:val="24"/>
          </w:rPr>
          <w:t>Financial Statements and Projections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_Toc56419081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38</w:t>
        </w:r>
        <w:r w:rsidR="009F1C87" w:rsidRPr="00EB104D">
          <w:rPr>
            <w:rFonts w:cs="Arial"/>
            <w:noProof/>
            <w:webHidden/>
            <w:szCs w:val="24"/>
          </w:rPr>
          <w:fldChar w:fldCharType="end"/>
        </w:r>
      </w:hyperlink>
    </w:p>
    <w:p w14:paraId="1AB50488" w14:textId="1A645275" w:rsidR="009F1C87" w:rsidRPr="00EB104D" w:rsidRDefault="00504229">
      <w:pPr>
        <w:pStyle w:val="TOC2"/>
        <w:rPr>
          <w:rFonts w:eastAsiaTheme="minorEastAsia" w:cs="Arial"/>
          <w:noProof/>
          <w:szCs w:val="24"/>
          <w:lang w:eastAsia="en-AU"/>
        </w:rPr>
      </w:pPr>
      <w:hyperlink w:anchor="_Toc56419082" w:history="1">
        <w:r w:rsidR="009F1C87" w:rsidRPr="00EB104D">
          <w:rPr>
            <w:rStyle w:val="Hyperlink"/>
            <w:rFonts w:cs="Arial"/>
            <w:noProof/>
            <w:szCs w:val="24"/>
          </w:rPr>
          <w:t>6.2</w:t>
        </w:r>
        <w:r w:rsidR="009F1C87" w:rsidRPr="00EB104D">
          <w:rPr>
            <w:rFonts w:eastAsiaTheme="minorEastAsia" w:cs="Arial"/>
            <w:noProof/>
            <w:szCs w:val="24"/>
            <w:lang w:eastAsia="en-AU"/>
          </w:rPr>
          <w:tab/>
        </w:r>
        <w:r w:rsidR="009F1C87" w:rsidRPr="00EB104D">
          <w:rPr>
            <w:rStyle w:val="Hyperlink"/>
            <w:rFonts w:cs="Arial"/>
            <w:noProof/>
            <w:szCs w:val="24"/>
          </w:rPr>
          <w:t>Funding Strategy</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_Toc56419082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41</w:t>
        </w:r>
        <w:r w:rsidR="009F1C87" w:rsidRPr="00EB104D">
          <w:rPr>
            <w:rFonts w:cs="Arial"/>
            <w:noProof/>
            <w:webHidden/>
            <w:szCs w:val="24"/>
          </w:rPr>
          <w:fldChar w:fldCharType="end"/>
        </w:r>
      </w:hyperlink>
    </w:p>
    <w:p w14:paraId="2D7B87D6" w14:textId="6D856E94" w:rsidR="009F1C87" w:rsidRPr="00EB104D" w:rsidRDefault="00504229">
      <w:pPr>
        <w:pStyle w:val="TOC2"/>
        <w:rPr>
          <w:rFonts w:eastAsiaTheme="minorEastAsia" w:cs="Arial"/>
          <w:noProof/>
          <w:szCs w:val="24"/>
          <w:lang w:eastAsia="en-AU"/>
        </w:rPr>
      </w:pPr>
      <w:hyperlink w:anchor="_Toc56419083" w:history="1">
        <w:r w:rsidR="009F1C87" w:rsidRPr="00EB104D">
          <w:rPr>
            <w:rStyle w:val="Hyperlink"/>
            <w:rFonts w:cs="Arial"/>
            <w:noProof/>
            <w:szCs w:val="24"/>
          </w:rPr>
          <w:t>6.3</w:t>
        </w:r>
        <w:r w:rsidR="009F1C87" w:rsidRPr="00EB104D">
          <w:rPr>
            <w:rFonts w:eastAsiaTheme="minorEastAsia" w:cs="Arial"/>
            <w:noProof/>
            <w:szCs w:val="24"/>
            <w:lang w:eastAsia="en-AU"/>
          </w:rPr>
          <w:tab/>
        </w:r>
        <w:r w:rsidR="009F1C87" w:rsidRPr="00EB104D">
          <w:rPr>
            <w:rStyle w:val="Hyperlink"/>
            <w:rFonts w:cs="Arial"/>
            <w:noProof/>
            <w:szCs w:val="24"/>
          </w:rPr>
          <w:t>Sustainability of service delivery</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_Toc56419083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41</w:t>
        </w:r>
        <w:r w:rsidR="009F1C87" w:rsidRPr="00EB104D">
          <w:rPr>
            <w:rFonts w:cs="Arial"/>
            <w:noProof/>
            <w:webHidden/>
            <w:szCs w:val="24"/>
          </w:rPr>
          <w:fldChar w:fldCharType="end"/>
        </w:r>
      </w:hyperlink>
    </w:p>
    <w:p w14:paraId="7716D995" w14:textId="41F9CEE8" w:rsidR="009F1C87" w:rsidRPr="00EB104D" w:rsidRDefault="00504229">
      <w:pPr>
        <w:pStyle w:val="TOC3"/>
        <w:rPr>
          <w:rFonts w:eastAsiaTheme="minorEastAsia" w:cs="Arial"/>
          <w:noProof/>
          <w:szCs w:val="24"/>
          <w:lang w:eastAsia="en-AU"/>
        </w:rPr>
      </w:pPr>
      <w:hyperlink w:anchor="_Toc56419084" w:history="1">
        <w:r w:rsidR="009F1C87" w:rsidRPr="00EB104D">
          <w:rPr>
            <w:rStyle w:val="Hyperlink"/>
            <w:rFonts w:cs="Arial"/>
            <w:noProof/>
            <w:szCs w:val="24"/>
          </w:rPr>
          <w:t>6.3.1</w:t>
        </w:r>
        <w:r w:rsidR="009F1C87" w:rsidRPr="00EB104D">
          <w:rPr>
            <w:rFonts w:eastAsiaTheme="minorEastAsia" w:cs="Arial"/>
            <w:noProof/>
            <w:szCs w:val="24"/>
            <w:lang w:eastAsia="en-AU"/>
          </w:rPr>
          <w:tab/>
        </w:r>
        <w:r w:rsidR="009F1C87" w:rsidRPr="00EB104D">
          <w:rPr>
            <w:rStyle w:val="Hyperlink"/>
            <w:rFonts w:cs="Arial"/>
            <w:noProof/>
            <w:szCs w:val="24"/>
          </w:rPr>
          <w:t>Asset Consumption Ratio (ACR)</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42</w:t>
        </w:r>
        <w:r w:rsidR="009F1C87" w:rsidRPr="00EB104D">
          <w:rPr>
            <w:rFonts w:cs="Arial"/>
            <w:noProof/>
            <w:webHidden/>
            <w:szCs w:val="24"/>
          </w:rPr>
          <w:fldChar w:fldCharType="end"/>
        </w:r>
      </w:hyperlink>
    </w:p>
    <w:p w14:paraId="42A615DA" w14:textId="792A3982" w:rsidR="009F1C87" w:rsidRPr="00EB104D" w:rsidRDefault="00504229">
      <w:pPr>
        <w:pStyle w:val="TOC3"/>
        <w:rPr>
          <w:rFonts w:eastAsiaTheme="minorEastAsia" w:cs="Arial"/>
          <w:noProof/>
          <w:szCs w:val="24"/>
          <w:lang w:eastAsia="en-AU"/>
        </w:rPr>
      </w:pPr>
      <w:hyperlink w:anchor="_Toc56419085" w:history="1">
        <w:r w:rsidR="009F1C87" w:rsidRPr="00EB104D">
          <w:rPr>
            <w:rStyle w:val="Hyperlink"/>
            <w:rFonts w:cs="Arial"/>
            <w:noProof/>
            <w:szCs w:val="24"/>
          </w:rPr>
          <w:t>6.3.2</w:t>
        </w:r>
        <w:r w:rsidR="009F1C87" w:rsidRPr="00EB104D">
          <w:rPr>
            <w:rFonts w:eastAsiaTheme="minorEastAsia" w:cs="Arial"/>
            <w:noProof/>
            <w:szCs w:val="24"/>
            <w:lang w:eastAsia="en-AU"/>
          </w:rPr>
          <w:tab/>
        </w:r>
        <w:r w:rsidR="009F1C87" w:rsidRPr="00EB104D">
          <w:rPr>
            <w:rStyle w:val="Hyperlink"/>
            <w:rFonts w:cs="Arial"/>
            <w:noProof/>
            <w:szCs w:val="24"/>
          </w:rPr>
          <w:t>Asset Sustainability Ratio (ASR)</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_Toc56419085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42</w:t>
        </w:r>
        <w:r w:rsidR="009F1C87" w:rsidRPr="00EB104D">
          <w:rPr>
            <w:rFonts w:cs="Arial"/>
            <w:noProof/>
            <w:webHidden/>
            <w:szCs w:val="24"/>
          </w:rPr>
          <w:fldChar w:fldCharType="end"/>
        </w:r>
      </w:hyperlink>
    </w:p>
    <w:p w14:paraId="78A1153F" w14:textId="1C4B2A70" w:rsidR="009F1C87" w:rsidRPr="00EB104D" w:rsidRDefault="00504229">
      <w:pPr>
        <w:pStyle w:val="TOC3"/>
        <w:rPr>
          <w:rFonts w:eastAsiaTheme="minorEastAsia" w:cs="Arial"/>
          <w:noProof/>
          <w:szCs w:val="24"/>
          <w:lang w:eastAsia="en-AU"/>
        </w:rPr>
      </w:pPr>
      <w:hyperlink w:anchor="_Toc56419086" w:history="1">
        <w:r w:rsidR="009F1C87" w:rsidRPr="00EB104D">
          <w:rPr>
            <w:rStyle w:val="Hyperlink"/>
            <w:rFonts w:cs="Arial"/>
            <w:noProof/>
            <w:szCs w:val="24"/>
          </w:rPr>
          <w:t>6.3.3</w:t>
        </w:r>
        <w:r w:rsidR="009F1C87" w:rsidRPr="00EB104D">
          <w:rPr>
            <w:rFonts w:eastAsiaTheme="minorEastAsia" w:cs="Arial"/>
            <w:noProof/>
            <w:szCs w:val="24"/>
            <w:lang w:eastAsia="en-AU"/>
          </w:rPr>
          <w:tab/>
        </w:r>
        <w:r w:rsidR="009F1C87" w:rsidRPr="00EB104D">
          <w:rPr>
            <w:rStyle w:val="Hyperlink"/>
            <w:rFonts w:cs="Arial"/>
            <w:noProof/>
            <w:szCs w:val="24"/>
          </w:rPr>
          <w:t>Asset Renewal Funding Ratio (ARFR)</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_Toc56419086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43</w:t>
        </w:r>
        <w:r w:rsidR="009F1C87" w:rsidRPr="00EB104D">
          <w:rPr>
            <w:rFonts w:cs="Arial"/>
            <w:noProof/>
            <w:webHidden/>
            <w:szCs w:val="24"/>
          </w:rPr>
          <w:fldChar w:fldCharType="end"/>
        </w:r>
      </w:hyperlink>
    </w:p>
    <w:p w14:paraId="56B915E9" w14:textId="63CC19AC" w:rsidR="009F1C87" w:rsidRPr="00EB104D" w:rsidRDefault="00504229">
      <w:pPr>
        <w:pStyle w:val="TOC2"/>
        <w:rPr>
          <w:rFonts w:eastAsiaTheme="minorEastAsia" w:cs="Arial"/>
          <w:noProof/>
          <w:szCs w:val="24"/>
          <w:lang w:eastAsia="en-AU"/>
        </w:rPr>
      </w:pPr>
      <w:hyperlink w:anchor="_Toc56419087" w:history="1">
        <w:r w:rsidR="009F1C87" w:rsidRPr="00EB104D">
          <w:rPr>
            <w:rStyle w:val="Hyperlink"/>
            <w:rFonts w:cs="Arial"/>
            <w:noProof/>
            <w:szCs w:val="24"/>
          </w:rPr>
          <w:t>6.4</w:t>
        </w:r>
        <w:r w:rsidR="009F1C87" w:rsidRPr="00EB104D">
          <w:rPr>
            <w:rFonts w:eastAsiaTheme="minorEastAsia" w:cs="Arial"/>
            <w:noProof/>
            <w:szCs w:val="24"/>
            <w:lang w:eastAsia="en-AU"/>
          </w:rPr>
          <w:tab/>
        </w:r>
        <w:r w:rsidR="009F1C87" w:rsidRPr="00EB104D">
          <w:rPr>
            <w:rStyle w:val="Hyperlink"/>
            <w:rFonts w:cs="Arial"/>
            <w:noProof/>
            <w:szCs w:val="24"/>
          </w:rPr>
          <w:t>Valuation Forecasts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_Toc56419087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44</w:t>
        </w:r>
        <w:r w:rsidR="009F1C87" w:rsidRPr="00EB104D">
          <w:rPr>
            <w:rFonts w:cs="Arial"/>
            <w:noProof/>
            <w:webHidden/>
            <w:szCs w:val="24"/>
          </w:rPr>
          <w:fldChar w:fldCharType="end"/>
        </w:r>
      </w:hyperlink>
    </w:p>
    <w:p w14:paraId="158A6796" w14:textId="68BAB31A" w:rsidR="009F1C87" w:rsidRPr="00EB104D" w:rsidRDefault="00504229">
      <w:pPr>
        <w:pStyle w:val="TOC2"/>
        <w:rPr>
          <w:rFonts w:eastAsiaTheme="minorEastAsia" w:cs="Arial"/>
          <w:noProof/>
          <w:szCs w:val="24"/>
          <w:lang w:eastAsia="en-AU"/>
        </w:rPr>
      </w:pPr>
      <w:hyperlink w:anchor="_Toc56419088" w:history="1">
        <w:r w:rsidR="009F1C87" w:rsidRPr="00EB104D">
          <w:rPr>
            <w:rStyle w:val="Hyperlink"/>
            <w:rFonts w:cs="Arial"/>
            <w:noProof/>
            <w:szCs w:val="24"/>
          </w:rPr>
          <w:t>6.5</w:t>
        </w:r>
        <w:r w:rsidR="009F1C87" w:rsidRPr="00EB104D">
          <w:rPr>
            <w:rFonts w:eastAsiaTheme="minorEastAsia" w:cs="Arial"/>
            <w:noProof/>
            <w:szCs w:val="24"/>
            <w:lang w:eastAsia="en-AU"/>
          </w:rPr>
          <w:tab/>
        </w:r>
        <w:r w:rsidR="009F1C87" w:rsidRPr="00EB104D">
          <w:rPr>
            <w:rStyle w:val="Hyperlink"/>
            <w:rFonts w:cs="Arial"/>
            <w:noProof/>
            <w:szCs w:val="24"/>
          </w:rPr>
          <w:t>Key Assumptions made in Financial Forecasts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_Toc56419088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46</w:t>
        </w:r>
        <w:r w:rsidR="009F1C87" w:rsidRPr="00EB104D">
          <w:rPr>
            <w:rFonts w:cs="Arial"/>
            <w:noProof/>
            <w:webHidden/>
            <w:szCs w:val="24"/>
          </w:rPr>
          <w:fldChar w:fldCharType="end"/>
        </w:r>
      </w:hyperlink>
    </w:p>
    <w:p w14:paraId="79B49418" w14:textId="77777777" w:rsidR="00EA4E9A" w:rsidRDefault="00EA4E9A">
      <w:pPr>
        <w:pStyle w:val="TOC1"/>
        <w:rPr>
          <w:rFonts w:ascii="Arial" w:hAnsi="Arial" w:cs="Arial"/>
          <w:szCs w:val="24"/>
        </w:rPr>
      </w:pPr>
    </w:p>
    <w:p w14:paraId="1FA25C2D" w14:textId="0C47390C" w:rsidR="009F1C87" w:rsidRPr="00EB104D" w:rsidRDefault="00504229">
      <w:pPr>
        <w:pStyle w:val="TOC1"/>
        <w:rPr>
          <w:rFonts w:ascii="Arial" w:eastAsiaTheme="minorEastAsia" w:hAnsi="Arial" w:cs="Arial"/>
          <w:b w:val="0"/>
          <w:color w:val="auto"/>
          <w:szCs w:val="24"/>
          <w:lang w:eastAsia="en-AU"/>
        </w:rPr>
      </w:pPr>
      <w:hyperlink w:anchor="_Toc56419089" w:history="1">
        <w:r w:rsidR="009F1C87" w:rsidRPr="00EB104D">
          <w:rPr>
            <w:rStyle w:val="Hyperlink"/>
            <w:rFonts w:ascii="Arial" w:hAnsi="Arial" w:cs="Arial"/>
            <w:szCs w:val="24"/>
          </w:rPr>
          <w:t>7.</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ASSET MANAGEMENT PRACTICES</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_Toc56419089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47</w:t>
        </w:r>
        <w:r w:rsidR="009F1C87" w:rsidRPr="00EB104D">
          <w:rPr>
            <w:rFonts w:ascii="Arial" w:hAnsi="Arial" w:cs="Arial"/>
            <w:webHidden/>
            <w:szCs w:val="24"/>
          </w:rPr>
          <w:fldChar w:fldCharType="end"/>
        </w:r>
      </w:hyperlink>
    </w:p>
    <w:p w14:paraId="32B6DCC7" w14:textId="54EA3752" w:rsidR="009F1C87" w:rsidRPr="00EB104D" w:rsidRDefault="00504229">
      <w:pPr>
        <w:pStyle w:val="TOC2"/>
        <w:rPr>
          <w:rFonts w:eastAsiaTheme="minorEastAsia" w:cs="Arial"/>
          <w:noProof/>
          <w:szCs w:val="24"/>
          <w:lang w:eastAsia="en-AU"/>
        </w:rPr>
      </w:pPr>
      <w:hyperlink w:anchor="_Toc56419090" w:history="1">
        <w:r w:rsidR="009F1C87" w:rsidRPr="00EB104D">
          <w:rPr>
            <w:rStyle w:val="Hyperlink"/>
            <w:rFonts w:cs="Arial"/>
            <w:noProof/>
            <w:szCs w:val="24"/>
          </w:rPr>
          <w:t>7.1</w:t>
        </w:r>
        <w:r w:rsidR="009F1C87" w:rsidRPr="00EB104D">
          <w:rPr>
            <w:rFonts w:eastAsiaTheme="minorEastAsia" w:cs="Arial"/>
            <w:noProof/>
            <w:szCs w:val="24"/>
            <w:lang w:eastAsia="en-AU"/>
          </w:rPr>
          <w:tab/>
        </w:r>
        <w:r w:rsidR="009F1C87" w:rsidRPr="00EB104D">
          <w:rPr>
            <w:rStyle w:val="Hyperlink"/>
            <w:rFonts w:cs="Arial"/>
            <w:noProof/>
            <w:szCs w:val="24"/>
          </w:rPr>
          <w:t>Accounting/Financial Systems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_Toc56419090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47</w:t>
        </w:r>
        <w:r w:rsidR="009F1C87" w:rsidRPr="00EB104D">
          <w:rPr>
            <w:rFonts w:cs="Arial"/>
            <w:noProof/>
            <w:webHidden/>
            <w:szCs w:val="24"/>
          </w:rPr>
          <w:fldChar w:fldCharType="end"/>
        </w:r>
      </w:hyperlink>
    </w:p>
    <w:p w14:paraId="2C407B23" w14:textId="4F20EAD7" w:rsidR="009F1C87" w:rsidRPr="00EB104D" w:rsidRDefault="00504229">
      <w:pPr>
        <w:pStyle w:val="TOC2"/>
        <w:rPr>
          <w:rFonts w:eastAsiaTheme="minorEastAsia" w:cs="Arial"/>
          <w:noProof/>
          <w:szCs w:val="24"/>
          <w:lang w:eastAsia="en-AU"/>
        </w:rPr>
      </w:pPr>
      <w:hyperlink w:anchor="_Toc56419094" w:history="1">
        <w:r w:rsidR="009F1C87" w:rsidRPr="00EB104D">
          <w:rPr>
            <w:rStyle w:val="Hyperlink"/>
            <w:rFonts w:cs="Arial"/>
            <w:noProof/>
            <w:szCs w:val="24"/>
          </w:rPr>
          <w:t>7.2</w:t>
        </w:r>
        <w:r w:rsidR="009F1C87" w:rsidRPr="00EB104D">
          <w:rPr>
            <w:rFonts w:eastAsiaTheme="minorEastAsia" w:cs="Arial"/>
            <w:noProof/>
            <w:szCs w:val="24"/>
            <w:lang w:eastAsia="en-AU"/>
          </w:rPr>
          <w:tab/>
        </w:r>
        <w:r w:rsidR="009F1C87" w:rsidRPr="00EB104D">
          <w:rPr>
            <w:rStyle w:val="Hyperlink"/>
            <w:rFonts w:cs="Arial"/>
            <w:noProof/>
            <w:szCs w:val="24"/>
          </w:rPr>
          <w:t>Asset Management Systems (EAM)</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_Toc56419094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47</w:t>
        </w:r>
        <w:r w:rsidR="009F1C87" w:rsidRPr="00EB104D">
          <w:rPr>
            <w:rFonts w:cs="Arial"/>
            <w:noProof/>
            <w:webHidden/>
            <w:szCs w:val="24"/>
          </w:rPr>
          <w:fldChar w:fldCharType="end"/>
        </w:r>
      </w:hyperlink>
    </w:p>
    <w:p w14:paraId="40C0B413" w14:textId="2E3FE1A2" w:rsidR="009F1C87" w:rsidRPr="00EB104D" w:rsidRDefault="00504229">
      <w:pPr>
        <w:pStyle w:val="TOC2"/>
        <w:rPr>
          <w:rFonts w:eastAsiaTheme="minorEastAsia" w:cs="Arial"/>
          <w:noProof/>
          <w:szCs w:val="24"/>
          <w:lang w:eastAsia="en-AU"/>
        </w:rPr>
      </w:pPr>
      <w:hyperlink w:anchor="_Toc56419099" w:history="1">
        <w:r w:rsidR="009F1C87" w:rsidRPr="00EB104D">
          <w:rPr>
            <w:rStyle w:val="Hyperlink"/>
            <w:rFonts w:cs="Arial"/>
            <w:noProof/>
            <w:szCs w:val="24"/>
          </w:rPr>
          <w:t>7.3</w:t>
        </w:r>
        <w:r w:rsidR="009F1C87" w:rsidRPr="00EB104D">
          <w:rPr>
            <w:rFonts w:eastAsiaTheme="minorEastAsia" w:cs="Arial"/>
            <w:noProof/>
            <w:szCs w:val="24"/>
            <w:lang w:eastAsia="en-AU"/>
          </w:rPr>
          <w:tab/>
        </w:r>
        <w:r w:rsidR="009F1C87" w:rsidRPr="00EB104D">
          <w:rPr>
            <w:rStyle w:val="Hyperlink"/>
            <w:rFonts w:cs="Arial"/>
            <w:noProof/>
            <w:szCs w:val="24"/>
          </w:rPr>
          <w:t>Information Flow Requirements and Processes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_Toc56419099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48</w:t>
        </w:r>
        <w:r w:rsidR="009F1C87" w:rsidRPr="00EB104D">
          <w:rPr>
            <w:rFonts w:cs="Arial"/>
            <w:noProof/>
            <w:webHidden/>
            <w:szCs w:val="24"/>
          </w:rPr>
          <w:fldChar w:fldCharType="end"/>
        </w:r>
      </w:hyperlink>
    </w:p>
    <w:p w14:paraId="3BC905E2" w14:textId="4DEE776B" w:rsidR="009F1C87" w:rsidRPr="00EB104D" w:rsidRDefault="00504229">
      <w:pPr>
        <w:pStyle w:val="TOC2"/>
        <w:rPr>
          <w:rFonts w:eastAsiaTheme="minorEastAsia" w:cs="Arial"/>
          <w:noProof/>
          <w:szCs w:val="24"/>
          <w:lang w:eastAsia="en-AU"/>
        </w:rPr>
      </w:pPr>
      <w:hyperlink w:anchor="_Toc56419100" w:history="1">
        <w:r w:rsidR="009F1C87" w:rsidRPr="00EB104D">
          <w:rPr>
            <w:rStyle w:val="Hyperlink"/>
            <w:rFonts w:cs="Arial"/>
            <w:noProof/>
            <w:szCs w:val="24"/>
          </w:rPr>
          <w:t>7.4</w:t>
        </w:r>
        <w:r w:rsidR="009F1C87" w:rsidRPr="00EB104D">
          <w:rPr>
            <w:rFonts w:eastAsiaTheme="minorEastAsia" w:cs="Arial"/>
            <w:noProof/>
            <w:szCs w:val="24"/>
            <w:lang w:eastAsia="en-AU"/>
          </w:rPr>
          <w:tab/>
        </w:r>
        <w:r w:rsidR="009F1C87" w:rsidRPr="00EB104D">
          <w:rPr>
            <w:rStyle w:val="Hyperlink"/>
            <w:rFonts w:cs="Arial"/>
            <w:noProof/>
            <w:szCs w:val="24"/>
          </w:rPr>
          <w:t>Standards and Guidelines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48</w:t>
        </w:r>
        <w:r w:rsidR="009F1C87" w:rsidRPr="00EB104D">
          <w:rPr>
            <w:rFonts w:cs="Arial"/>
            <w:noProof/>
            <w:webHidden/>
            <w:szCs w:val="24"/>
          </w:rPr>
          <w:fldChar w:fldCharType="end"/>
        </w:r>
      </w:hyperlink>
    </w:p>
    <w:p w14:paraId="29F385CC" w14:textId="4681F2B1" w:rsidR="009F1C87" w:rsidRPr="00EB104D" w:rsidRDefault="00504229">
      <w:pPr>
        <w:pStyle w:val="TOC1"/>
        <w:rPr>
          <w:rFonts w:ascii="Arial" w:eastAsiaTheme="minorEastAsia" w:hAnsi="Arial" w:cs="Arial"/>
          <w:b w:val="0"/>
          <w:color w:val="auto"/>
          <w:szCs w:val="24"/>
          <w:lang w:eastAsia="en-AU"/>
        </w:rPr>
      </w:pPr>
      <w:hyperlink w:anchor="_Toc56419101" w:history="1">
        <w:r w:rsidR="009F1C87" w:rsidRPr="00EB104D">
          <w:rPr>
            <w:rStyle w:val="Hyperlink"/>
            <w:rFonts w:ascii="Arial" w:hAnsi="Arial" w:cs="Arial"/>
            <w:szCs w:val="24"/>
          </w:rPr>
          <w:t>8.</w:t>
        </w:r>
        <w:r w:rsidR="009F1C87" w:rsidRPr="00EB104D">
          <w:rPr>
            <w:rFonts w:ascii="Arial" w:eastAsiaTheme="minorEastAsia" w:hAnsi="Arial" w:cs="Arial"/>
            <w:b w:val="0"/>
            <w:color w:val="auto"/>
            <w:szCs w:val="24"/>
            <w:lang w:eastAsia="en-AU"/>
          </w:rPr>
          <w:tab/>
        </w:r>
        <w:r w:rsidR="009F1C87" w:rsidRPr="00EB104D">
          <w:rPr>
            <w:rStyle w:val="Hyperlink"/>
            <w:rFonts w:ascii="Arial" w:hAnsi="Arial" w:cs="Arial"/>
            <w:szCs w:val="24"/>
          </w:rPr>
          <w:t>PLAN IMPROVEMENT AND MONITORING</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_Toc56419101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49</w:t>
        </w:r>
        <w:r w:rsidR="009F1C87" w:rsidRPr="00EB104D">
          <w:rPr>
            <w:rFonts w:ascii="Arial" w:hAnsi="Arial" w:cs="Arial"/>
            <w:webHidden/>
            <w:szCs w:val="24"/>
          </w:rPr>
          <w:fldChar w:fldCharType="end"/>
        </w:r>
      </w:hyperlink>
    </w:p>
    <w:p w14:paraId="7E609CA7" w14:textId="2BEC2642" w:rsidR="009F1C87" w:rsidRPr="00EB104D" w:rsidRDefault="00504229">
      <w:pPr>
        <w:pStyle w:val="TOC2"/>
        <w:rPr>
          <w:rFonts w:eastAsiaTheme="minorEastAsia" w:cs="Arial"/>
          <w:noProof/>
          <w:szCs w:val="24"/>
          <w:lang w:eastAsia="en-AU"/>
        </w:rPr>
      </w:pPr>
      <w:hyperlink w:anchor="_Toc56419102" w:history="1">
        <w:r w:rsidR="009F1C87" w:rsidRPr="00EB104D">
          <w:rPr>
            <w:rStyle w:val="Hyperlink"/>
            <w:rFonts w:cs="Arial"/>
            <w:noProof/>
            <w:szCs w:val="24"/>
          </w:rPr>
          <w:t>8.1</w:t>
        </w:r>
        <w:r w:rsidR="009F1C87" w:rsidRPr="00EB104D">
          <w:rPr>
            <w:rFonts w:eastAsiaTheme="minorEastAsia" w:cs="Arial"/>
            <w:noProof/>
            <w:szCs w:val="24"/>
            <w:lang w:eastAsia="en-AU"/>
          </w:rPr>
          <w:tab/>
        </w:r>
        <w:r w:rsidR="009F1C87" w:rsidRPr="00EB104D">
          <w:rPr>
            <w:rStyle w:val="Hyperlink"/>
            <w:rFonts w:cs="Arial"/>
            <w:noProof/>
            <w:szCs w:val="24"/>
          </w:rPr>
          <w:t>Performance Measures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_Toc56419102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49</w:t>
        </w:r>
        <w:r w:rsidR="009F1C87" w:rsidRPr="00EB104D">
          <w:rPr>
            <w:rFonts w:cs="Arial"/>
            <w:noProof/>
            <w:webHidden/>
            <w:szCs w:val="24"/>
          </w:rPr>
          <w:fldChar w:fldCharType="end"/>
        </w:r>
      </w:hyperlink>
    </w:p>
    <w:p w14:paraId="5B669FB0" w14:textId="7ECFB24C" w:rsidR="009F1C87" w:rsidRPr="00EB104D" w:rsidRDefault="00504229">
      <w:pPr>
        <w:pStyle w:val="TOC2"/>
        <w:rPr>
          <w:rFonts w:eastAsiaTheme="minorEastAsia" w:cs="Arial"/>
          <w:noProof/>
          <w:szCs w:val="24"/>
          <w:lang w:eastAsia="en-AU"/>
        </w:rPr>
      </w:pPr>
      <w:hyperlink w:anchor="_Toc56419103" w:history="1">
        <w:r w:rsidR="009F1C87" w:rsidRPr="00EB104D">
          <w:rPr>
            <w:rStyle w:val="Hyperlink"/>
            <w:rFonts w:cs="Arial"/>
            <w:noProof/>
            <w:szCs w:val="24"/>
          </w:rPr>
          <w:t>8.2</w:t>
        </w:r>
        <w:r w:rsidR="009F1C87" w:rsidRPr="00EB104D">
          <w:rPr>
            <w:rFonts w:eastAsiaTheme="minorEastAsia" w:cs="Arial"/>
            <w:noProof/>
            <w:szCs w:val="24"/>
            <w:lang w:eastAsia="en-AU"/>
          </w:rPr>
          <w:tab/>
        </w:r>
        <w:r w:rsidR="009F1C87" w:rsidRPr="00EB104D">
          <w:rPr>
            <w:rStyle w:val="Hyperlink"/>
            <w:rFonts w:cs="Arial"/>
            <w:noProof/>
            <w:szCs w:val="24"/>
          </w:rPr>
          <w:t>Improvement Strategy</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_Toc56419103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49</w:t>
        </w:r>
        <w:r w:rsidR="009F1C87" w:rsidRPr="00EB104D">
          <w:rPr>
            <w:rFonts w:cs="Arial"/>
            <w:noProof/>
            <w:webHidden/>
            <w:szCs w:val="24"/>
          </w:rPr>
          <w:fldChar w:fldCharType="end"/>
        </w:r>
      </w:hyperlink>
    </w:p>
    <w:p w14:paraId="0B0907DF" w14:textId="48C36476" w:rsidR="009F1C87" w:rsidRPr="00EB104D" w:rsidRDefault="00504229">
      <w:pPr>
        <w:pStyle w:val="TOC2"/>
        <w:rPr>
          <w:rFonts w:eastAsiaTheme="minorEastAsia" w:cs="Arial"/>
          <w:noProof/>
          <w:szCs w:val="24"/>
          <w:lang w:eastAsia="en-AU"/>
        </w:rPr>
      </w:pPr>
      <w:hyperlink w:anchor="_Toc56419104" w:history="1">
        <w:r w:rsidR="009F1C87" w:rsidRPr="00EB104D">
          <w:rPr>
            <w:rStyle w:val="Hyperlink"/>
            <w:rFonts w:cs="Arial"/>
            <w:noProof/>
            <w:szCs w:val="24"/>
          </w:rPr>
          <w:t>8.3</w:t>
        </w:r>
        <w:r w:rsidR="009F1C87" w:rsidRPr="00EB104D">
          <w:rPr>
            <w:rFonts w:eastAsiaTheme="minorEastAsia" w:cs="Arial"/>
            <w:noProof/>
            <w:szCs w:val="24"/>
            <w:lang w:eastAsia="en-AU"/>
          </w:rPr>
          <w:tab/>
        </w:r>
        <w:r w:rsidR="009F1C87" w:rsidRPr="00EB104D">
          <w:rPr>
            <w:rStyle w:val="Hyperlink"/>
            <w:rFonts w:cs="Arial"/>
            <w:noProof/>
            <w:szCs w:val="24"/>
          </w:rPr>
          <w:t>Monitoring and Review Procedures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_Toc56419104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52</w:t>
        </w:r>
        <w:r w:rsidR="009F1C87" w:rsidRPr="00EB104D">
          <w:rPr>
            <w:rFonts w:cs="Arial"/>
            <w:noProof/>
            <w:webHidden/>
            <w:szCs w:val="24"/>
          </w:rPr>
          <w:fldChar w:fldCharType="end"/>
        </w:r>
      </w:hyperlink>
    </w:p>
    <w:p w14:paraId="747F9CD2" w14:textId="7DA9B1FF" w:rsidR="009F1C87" w:rsidRPr="00EB104D" w:rsidRDefault="00504229">
      <w:pPr>
        <w:pStyle w:val="TOC1"/>
        <w:rPr>
          <w:rFonts w:ascii="Arial" w:eastAsiaTheme="minorEastAsia" w:hAnsi="Arial" w:cs="Arial"/>
          <w:b w:val="0"/>
          <w:color w:val="auto"/>
          <w:szCs w:val="24"/>
          <w:lang w:eastAsia="en-AU"/>
        </w:rPr>
      </w:pPr>
      <w:hyperlink w:anchor="_Toc56419105" w:history="1">
        <w:r w:rsidR="009F1C87" w:rsidRPr="00EB104D">
          <w:rPr>
            <w:rStyle w:val="Hyperlink"/>
            <w:rFonts w:ascii="Arial" w:hAnsi="Arial" w:cs="Arial"/>
            <w:szCs w:val="24"/>
          </w:rPr>
          <w:t>REFERENCES</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_Toc56419105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54</w:t>
        </w:r>
        <w:r w:rsidR="009F1C87" w:rsidRPr="00EB104D">
          <w:rPr>
            <w:rFonts w:ascii="Arial" w:hAnsi="Arial" w:cs="Arial"/>
            <w:webHidden/>
            <w:szCs w:val="24"/>
          </w:rPr>
          <w:fldChar w:fldCharType="end"/>
        </w:r>
      </w:hyperlink>
    </w:p>
    <w:p w14:paraId="5EB027F0" w14:textId="165BB060" w:rsidR="009F1C87" w:rsidRPr="00EB104D" w:rsidRDefault="00504229">
      <w:pPr>
        <w:pStyle w:val="TOC1"/>
        <w:rPr>
          <w:rFonts w:ascii="Arial" w:eastAsiaTheme="minorEastAsia" w:hAnsi="Arial" w:cs="Arial"/>
          <w:b w:val="0"/>
          <w:color w:val="auto"/>
          <w:szCs w:val="24"/>
          <w:lang w:eastAsia="en-AU"/>
        </w:rPr>
      </w:pPr>
      <w:hyperlink w:anchor="_Toc56419106" w:history="1">
        <w:r w:rsidR="009F1C87" w:rsidRPr="00EB104D">
          <w:rPr>
            <w:rStyle w:val="Hyperlink"/>
            <w:rFonts w:ascii="Arial" w:hAnsi="Arial" w:cs="Arial"/>
            <w:szCs w:val="24"/>
          </w:rPr>
          <w:t>APPENDICES</w:t>
        </w:r>
        <w:r w:rsidR="009F1C87" w:rsidRPr="00EB104D">
          <w:rPr>
            <w:rFonts w:ascii="Arial" w:hAnsi="Arial" w:cs="Arial"/>
            <w:webHidden/>
            <w:szCs w:val="24"/>
          </w:rPr>
          <w:tab/>
        </w:r>
        <w:r w:rsidR="009F1C87" w:rsidRPr="00EB104D">
          <w:rPr>
            <w:rFonts w:ascii="Arial" w:hAnsi="Arial" w:cs="Arial"/>
            <w:webHidden/>
            <w:szCs w:val="24"/>
          </w:rPr>
          <w:fldChar w:fldCharType="begin"/>
        </w:r>
        <w:r w:rsidR="009F1C87" w:rsidRPr="00EB104D">
          <w:rPr>
            <w:rFonts w:ascii="Arial" w:hAnsi="Arial" w:cs="Arial"/>
            <w:webHidden/>
            <w:szCs w:val="24"/>
          </w:rPr>
          <w:instrText xml:space="preserve"> PAGEREF _Toc56419106 \h </w:instrText>
        </w:r>
        <w:r w:rsidR="009F1C87" w:rsidRPr="00EB104D">
          <w:rPr>
            <w:rFonts w:ascii="Arial" w:hAnsi="Arial" w:cs="Arial"/>
            <w:webHidden/>
            <w:szCs w:val="24"/>
          </w:rPr>
        </w:r>
        <w:r w:rsidR="009F1C87" w:rsidRPr="00EB104D">
          <w:rPr>
            <w:rFonts w:ascii="Arial" w:hAnsi="Arial" w:cs="Arial"/>
            <w:webHidden/>
            <w:szCs w:val="24"/>
          </w:rPr>
          <w:fldChar w:fldCharType="separate"/>
        </w:r>
        <w:r>
          <w:rPr>
            <w:rFonts w:ascii="Arial" w:hAnsi="Arial" w:cs="Arial"/>
            <w:webHidden/>
            <w:szCs w:val="24"/>
          </w:rPr>
          <w:t>55</w:t>
        </w:r>
        <w:r w:rsidR="009F1C87" w:rsidRPr="00EB104D">
          <w:rPr>
            <w:rFonts w:ascii="Arial" w:hAnsi="Arial" w:cs="Arial"/>
            <w:webHidden/>
            <w:szCs w:val="24"/>
          </w:rPr>
          <w:fldChar w:fldCharType="end"/>
        </w:r>
      </w:hyperlink>
    </w:p>
    <w:p w14:paraId="26F90193" w14:textId="087E783C" w:rsidR="009F1C87" w:rsidRPr="00EB104D" w:rsidRDefault="00504229">
      <w:pPr>
        <w:pStyle w:val="TOC2"/>
        <w:rPr>
          <w:rFonts w:eastAsiaTheme="minorEastAsia" w:cs="Arial"/>
          <w:noProof/>
          <w:szCs w:val="24"/>
          <w:lang w:eastAsia="en-AU"/>
        </w:rPr>
      </w:pPr>
      <w:hyperlink w:anchor="_Toc56419107" w:history="1">
        <w:r w:rsidR="009F1C87" w:rsidRPr="00EB104D">
          <w:rPr>
            <w:rStyle w:val="Hyperlink"/>
            <w:rFonts w:cs="Arial"/>
            <w:noProof/>
            <w:szCs w:val="24"/>
          </w:rPr>
          <w:t>Appendix A</w:t>
        </w:r>
        <w:r w:rsidR="009F1C87" w:rsidRPr="00EB104D">
          <w:rPr>
            <w:rFonts w:eastAsiaTheme="minorEastAsia" w:cs="Arial"/>
            <w:noProof/>
            <w:szCs w:val="24"/>
            <w:lang w:eastAsia="en-AU"/>
          </w:rPr>
          <w:tab/>
        </w:r>
        <w:r w:rsidR="009F1C87" w:rsidRPr="00EB104D">
          <w:rPr>
            <w:rStyle w:val="Hyperlink"/>
            <w:rFonts w:cs="Arial"/>
            <w:noProof/>
            <w:szCs w:val="24"/>
          </w:rPr>
          <w:t>Legislative Requirements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_Toc56419107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55</w:t>
        </w:r>
        <w:r w:rsidR="009F1C87" w:rsidRPr="00EB104D">
          <w:rPr>
            <w:rFonts w:cs="Arial"/>
            <w:noProof/>
            <w:webHidden/>
            <w:szCs w:val="24"/>
          </w:rPr>
          <w:fldChar w:fldCharType="end"/>
        </w:r>
      </w:hyperlink>
    </w:p>
    <w:p w14:paraId="39BE20A5" w14:textId="398DB1D9" w:rsidR="009F1C87" w:rsidRPr="00EB104D" w:rsidRDefault="00504229">
      <w:pPr>
        <w:pStyle w:val="TOC2"/>
        <w:rPr>
          <w:rFonts w:eastAsiaTheme="minorEastAsia" w:cs="Arial"/>
          <w:noProof/>
          <w:szCs w:val="24"/>
          <w:lang w:eastAsia="en-AU"/>
        </w:rPr>
      </w:pPr>
      <w:hyperlink w:anchor="_Toc56419108" w:history="1">
        <w:r w:rsidR="00754BB3">
          <w:rPr>
            <w:rStyle w:val="Hyperlink"/>
            <w:rFonts w:cs="Arial"/>
            <w:noProof/>
            <w:szCs w:val="24"/>
          </w:rPr>
          <w:t>Appendix B</w:t>
        </w:r>
        <w:r w:rsidR="009F1C87" w:rsidRPr="00EB104D">
          <w:rPr>
            <w:rFonts w:eastAsiaTheme="minorEastAsia" w:cs="Arial"/>
            <w:noProof/>
            <w:szCs w:val="24"/>
            <w:lang w:eastAsia="en-AU"/>
          </w:rPr>
          <w:tab/>
        </w:r>
        <w:r w:rsidR="009F1C87" w:rsidRPr="00EB104D">
          <w:rPr>
            <w:rStyle w:val="Hyperlink"/>
            <w:rFonts w:cs="Arial"/>
            <w:noProof/>
            <w:szCs w:val="24"/>
          </w:rPr>
          <w:t>Footpath Renewals for 2021/22</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_Toc56419108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57</w:t>
        </w:r>
        <w:r w:rsidR="009F1C87" w:rsidRPr="00EB104D">
          <w:rPr>
            <w:rFonts w:cs="Arial"/>
            <w:noProof/>
            <w:webHidden/>
            <w:szCs w:val="24"/>
          </w:rPr>
          <w:fldChar w:fldCharType="end"/>
        </w:r>
      </w:hyperlink>
    </w:p>
    <w:p w14:paraId="4DF73547" w14:textId="0FC24B56" w:rsidR="009F1C87" w:rsidRPr="00EB104D" w:rsidRDefault="00504229">
      <w:pPr>
        <w:pStyle w:val="TOC2"/>
        <w:rPr>
          <w:rFonts w:eastAsiaTheme="minorEastAsia" w:cs="Arial"/>
          <w:noProof/>
          <w:szCs w:val="24"/>
          <w:lang w:eastAsia="en-AU"/>
        </w:rPr>
      </w:pPr>
      <w:hyperlink w:anchor="_Toc56419109" w:history="1">
        <w:r w:rsidR="00754BB3">
          <w:rPr>
            <w:rStyle w:val="Hyperlink"/>
            <w:rFonts w:cs="Arial"/>
            <w:noProof/>
            <w:szCs w:val="24"/>
          </w:rPr>
          <w:t>Appendix C</w:t>
        </w:r>
        <w:r w:rsidR="009F1C87" w:rsidRPr="00EB104D">
          <w:rPr>
            <w:rFonts w:eastAsiaTheme="minorEastAsia" w:cs="Arial"/>
            <w:noProof/>
            <w:szCs w:val="24"/>
            <w:lang w:eastAsia="en-AU"/>
          </w:rPr>
          <w:tab/>
        </w:r>
        <w:r w:rsidR="009F1C87" w:rsidRPr="00EB104D">
          <w:rPr>
            <w:rStyle w:val="Hyperlink"/>
            <w:rFonts w:cs="Arial"/>
            <w:noProof/>
            <w:szCs w:val="24"/>
          </w:rPr>
          <w:t>New Footpaths for 2021/22</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_Toc56419109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58</w:t>
        </w:r>
        <w:r w:rsidR="009F1C87" w:rsidRPr="00EB104D">
          <w:rPr>
            <w:rFonts w:cs="Arial"/>
            <w:noProof/>
            <w:webHidden/>
            <w:szCs w:val="24"/>
          </w:rPr>
          <w:fldChar w:fldCharType="end"/>
        </w:r>
      </w:hyperlink>
    </w:p>
    <w:p w14:paraId="1FC3CEBE" w14:textId="042E1655" w:rsidR="009F1C87" w:rsidRPr="00EB104D" w:rsidRDefault="00504229">
      <w:pPr>
        <w:pStyle w:val="TOC2"/>
        <w:rPr>
          <w:rFonts w:eastAsiaTheme="minorEastAsia" w:cs="Arial"/>
          <w:noProof/>
          <w:szCs w:val="24"/>
          <w:lang w:eastAsia="en-AU"/>
        </w:rPr>
      </w:pPr>
      <w:hyperlink w:anchor="_Toc56419110" w:history="1">
        <w:r w:rsidR="009F1C87" w:rsidRPr="00EB104D">
          <w:rPr>
            <w:rStyle w:val="Hyperlink"/>
            <w:rFonts w:cs="Arial"/>
            <w:noProof/>
            <w:szCs w:val="24"/>
          </w:rPr>
          <w:t>Appendix D</w:t>
        </w:r>
        <w:r w:rsidR="009F1C87" w:rsidRPr="00EB104D">
          <w:rPr>
            <w:rFonts w:eastAsiaTheme="minorEastAsia" w:cs="Arial"/>
            <w:noProof/>
            <w:szCs w:val="24"/>
            <w:lang w:eastAsia="en-AU"/>
          </w:rPr>
          <w:tab/>
        </w:r>
        <w:r w:rsidR="009F1C87" w:rsidRPr="00EB104D">
          <w:rPr>
            <w:rStyle w:val="Hyperlink"/>
            <w:rFonts w:cs="Arial"/>
            <w:noProof/>
            <w:szCs w:val="24"/>
          </w:rPr>
          <w:t>Preliminary Renewals for 2021/22</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_Toc56419110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59</w:t>
        </w:r>
        <w:r w:rsidR="009F1C87" w:rsidRPr="00EB104D">
          <w:rPr>
            <w:rFonts w:cs="Arial"/>
            <w:noProof/>
            <w:webHidden/>
            <w:szCs w:val="24"/>
          </w:rPr>
          <w:fldChar w:fldCharType="end"/>
        </w:r>
      </w:hyperlink>
    </w:p>
    <w:p w14:paraId="35DF22B8" w14:textId="72206DD5" w:rsidR="009F1C87" w:rsidRPr="00EB104D" w:rsidRDefault="00504229">
      <w:pPr>
        <w:pStyle w:val="TOC2"/>
        <w:rPr>
          <w:rFonts w:eastAsiaTheme="minorEastAsia" w:cs="Arial"/>
          <w:noProof/>
          <w:szCs w:val="24"/>
          <w:lang w:eastAsia="en-AU"/>
        </w:rPr>
      </w:pPr>
      <w:hyperlink w:anchor="_Toc56419111" w:history="1">
        <w:r w:rsidR="009F1C87" w:rsidRPr="00EB104D">
          <w:rPr>
            <w:rStyle w:val="Hyperlink"/>
            <w:rFonts w:cs="Arial"/>
            <w:noProof/>
            <w:szCs w:val="24"/>
          </w:rPr>
          <w:t>Appendix E</w:t>
        </w:r>
        <w:r w:rsidR="009F1C87" w:rsidRPr="00EB104D">
          <w:rPr>
            <w:rFonts w:eastAsiaTheme="minorEastAsia" w:cs="Arial"/>
            <w:noProof/>
            <w:szCs w:val="24"/>
            <w:lang w:eastAsia="en-AU"/>
          </w:rPr>
          <w:tab/>
        </w:r>
        <w:r w:rsidR="009F1C87" w:rsidRPr="00EB104D">
          <w:rPr>
            <w:rStyle w:val="Hyperlink"/>
            <w:rFonts w:cs="Arial"/>
            <w:noProof/>
            <w:szCs w:val="24"/>
          </w:rPr>
          <w:t>Standards and Specifications</w:t>
        </w:r>
        <w:r w:rsidR="009F1C87" w:rsidRPr="00EB104D">
          <w:rPr>
            <w:rFonts w:cs="Arial"/>
            <w:noProof/>
            <w:webHidden/>
            <w:szCs w:val="24"/>
          </w:rPr>
          <w:tab/>
        </w:r>
        <w:r w:rsidR="009F1C87" w:rsidRPr="00EB104D">
          <w:rPr>
            <w:rFonts w:cs="Arial"/>
            <w:noProof/>
            <w:webHidden/>
            <w:szCs w:val="24"/>
          </w:rPr>
          <w:fldChar w:fldCharType="begin"/>
        </w:r>
        <w:r w:rsidR="009F1C87" w:rsidRPr="00EB104D">
          <w:rPr>
            <w:rFonts w:cs="Arial"/>
            <w:noProof/>
            <w:webHidden/>
            <w:szCs w:val="24"/>
          </w:rPr>
          <w:instrText xml:space="preserve"> PAGEREF _Toc56419111 \h </w:instrText>
        </w:r>
        <w:r w:rsidR="009F1C87" w:rsidRPr="00EB104D">
          <w:rPr>
            <w:rFonts w:cs="Arial"/>
            <w:noProof/>
            <w:webHidden/>
            <w:szCs w:val="24"/>
          </w:rPr>
        </w:r>
        <w:r w:rsidR="009F1C87" w:rsidRPr="00EB104D">
          <w:rPr>
            <w:rFonts w:cs="Arial"/>
            <w:noProof/>
            <w:webHidden/>
            <w:szCs w:val="24"/>
          </w:rPr>
          <w:fldChar w:fldCharType="separate"/>
        </w:r>
        <w:r>
          <w:rPr>
            <w:rFonts w:cs="Arial"/>
            <w:noProof/>
            <w:webHidden/>
            <w:szCs w:val="24"/>
          </w:rPr>
          <w:t>61</w:t>
        </w:r>
        <w:r w:rsidR="009F1C87" w:rsidRPr="00EB104D">
          <w:rPr>
            <w:rFonts w:cs="Arial"/>
            <w:noProof/>
            <w:webHidden/>
            <w:szCs w:val="24"/>
          </w:rPr>
          <w:fldChar w:fldCharType="end"/>
        </w:r>
      </w:hyperlink>
    </w:p>
    <w:p w14:paraId="4C43C290" w14:textId="77777777" w:rsidR="00712568" w:rsidRPr="00253337" w:rsidRDefault="00A4014C" w:rsidP="001F1FDD">
      <w:pPr>
        <w:pStyle w:val="BodyText"/>
        <w:spacing w:after="0"/>
        <w:rPr>
          <w:rFonts w:ascii="Arial Narrow" w:hAnsi="Arial Narrow" w:cs="Arial"/>
          <w:szCs w:val="24"/>
        </w:rPr>
        <w:sectPr w:rsidR="00712568" w:rsidRPr="00253337" w:rsidSect="00F03AA2">
          <w:footerReference w:type="default" r:id="rId11"/>
          <w:footerReference w:type="first" r:id="rId12"/>
          <w:pgSz w:w="11907" w:h="16840" w:code="9"/>
          <w:pgMar w:top="1276" w:right="1559" w:bottom="1276" w:left="1701" w:header="624" w:footer="510" w:gutter="0"/>
          <w:cols w:space="720"/>
          <w:titlePg/>
          <w:docGrid w:linePitch="360"/>
        </w:sectPr>
      </w:pPr>
      <w:r w:rsidRPr="00EB104D">
        <w:rPr>
          <w:rFonts w:cs="Arial"/>
          <w:szCs w:val="24"/>
        </w:rPr>
        <w:fldChar w:fldCharType="end"/>
      </w:r>
    </w:p>
    <w:p w14:paraId="5E8BE05C" w14:textId="0E031FBC" w:rsidR="00753FA6" w:rsidRPr="00591ADE" w:rsidRDefault="00140CAE" w:rsidP="001E2CDA">
      <w:pPr>
        <w:pStyle w:val="Heading1"/>
        <w:spacing w:after="120"/>
        <w:rPr>
          <w:color w:val="0070C0"/>
          <w:sz w:val="28"/>
          <w:szCs w:val="28"/>
        </w:rPr>
      </w:pPr>
      <w:bookmarkStart w:id="1" w:name="_Toc155092873"/>
      <w:bookmarkStart w:id="2" w:name="_Toc56419047"/>
      <w:r w:rsidRPr="00591ADE">
        <w:rPr>
          <w:color w:val="0070C0"/>
          <w:sz w:val="28"/>
          <w:szCs w:val="28"/>
        </w:rPr>
        <w:lastRenderedPageBreak/>
        <w:t>Glossary</w:t>
      </w:r>
      <w:bookmarkEnd w:id="1"/>
      <w:bookmarkEnd w:id="2"/>
    </w:p>
    <w:p w14:paraId="372AFF4A" w14:textId="77777777" w:rsidR="005C6449" w:rsidRPr="00434F9A" w:rsidRDefault="005C6449" w:rsidP="005C6449">
      <w:pPr>
        <w:pStyle w:val="BodyText"/>
        <w:spacing w:after="0" w:line="240" w:lineRule="auto"/>
        <w:rPr>
          <w:rFonts w:ascii="Arial Narrow" w:hAnsi="Arial Narrow"/>
          <w:b/>
          <w:szCs w:val="24"/>
        </w:rPr>
      </w:pPr>
      <w:r w:rsidRPr="00434F9A">
        <w:rPr>
          <w:rFonts w:ascii="Arial Narrow" w:hAnsi="Arial Narrow"/>
          <w:b/>
          <w:szCs w:val="24"/>
        </w:rPr>
        <w:t>ASPEC (M, O, R, D) Specification</w:t>
      </w:r>
    </w:p>
    <w:p w14:paraId="079099DF" w14:textId="77777777" w:rsidR="005C6449" w:rsidRDefault="005C6449" w:rsidP="005C6449">
      <w:pPr>
        <w:pStyle w:val="BodyText"/>
        <w:spacing w:after="0" w:line="240" w:lineRule="auto"/>
        <w:rPr>
          <w:rFonts w:ascii="Arial Narrow" w:hAnsi="Arial Narrow"/>
          <w:szCs w:val="24"/>
        </w:rPr>
      </w:pPr>
      <w:r w:rsidRPr="00434F9A">
        <w:rPr>
          <w:rFonts w:ascii="Arial Narrow" w:hAnsi="Arial Narrow"/>
          <w:szCs w:val="24"/>
        </w:rPr>
        <w:t>ASPEC data Specification and the City’s operational register classification i.e. Marina and Coastal Infrastructure, Open Space, Road and Drainage Specification</w:t>
      </w:r>
    </w:p>
    <w:p w14:paraId="516BA746" w14:textId="77777777" w:rsidR="005C6449" w:rsidRPr="00434F9A" w:rsidRDefault="005C6449" w:rsidP="005C6449">
      <w:pPr>
        <w:pStyle w:val="BodyText"/>
        <w:spacing w:after="0" w:line="240" w:lineRule="auto"/>
        <w:rPr>
          <w:rFonts w:ascii="Arial Narrow" w:hAnsi="Arial Narrow"/>
          <w:szCs w:val="24"/>
        </w:rPr>
      </w:pPr>
    </w:p>
    <w:p w14:paraId="29FD092A"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w:t>
      </w:r>
    </w:p>
    <w:p w14:paraId="6B5556D7"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A physical component of a facility which has value enables a service to be provided and has an economic life of greater than 12 months.</w:t>
      </w:r>
    </w:p>
    <w:p w14:paraId="43F153FE"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 Class</w:t>
      </w:r>
    </w:p>
    <w:p w14:paraId="1C3001AE"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Groupings of assets of similar nature and use in a local government’s operations (AASB 166.37)</w:t>
      </w:r>
    </w:p>
    <w:p w14:paraId="78BD31D8"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 Classification</w:t>
      </w:r>
    </w:p>
    <w:p w14:paraId="0D2E302C"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A division of the asset class regarded as having particular shared characteristics</w:t>
      </w:r>
    </w:p>
    <w:p w14:paraId="3FFAAF79"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 Type</w:t>
      </w:r>
    </w:p>
    <w:p w14:paraId="0F2A843C"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Defines the range of assets held in the asset classification ie ASpec</w:t>
      </w:r>
    </w:p>
    <w:p w14:paraId="6D1FAC04"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 Condition</w:t>
      </w:r>
    </w:p>
    <w:p w14:paraId="7316F476"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 xml:space="preserve">Is a measure of the asset’s physical integrity to enable prediction of maintenance, rehabilitation and renewal requirements. </w:t>
      </w:r>
    </w:p>
    <w:p w14:paraId="52AD38FE"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Asset Management</w:t>
      </w:r>
    </w:p>
    <w:p w14:paraId="5A70584A"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combination of management, financial, economic, engineering and other practices applied to physical assets with the objective of providing the required level of service in the most cost effective manner.</w:t>
      </w:r>
    </w:p>
    <w:p w14:paraId="22F7FDEE"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Capital Renewal Expenditure</w:t>
      </w:r>
    </w:p>
    <w:p w14:paraId="1ED54E48"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Expenditure/ works on an existing asset which returns the service potential or the life of the asset to that which it had originally.</w:t>
      </w:r>
    </w:p>
    <w:p w14:paraId="7828EA2F"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Capital New Expenditure</w:t>
      </w:r>
    </w:p>
    <w:p w14:paraId="54ACF898"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Expenditure used to create new assets or to increase the capacity of existing assets beyond their original design capacity or service potential.</w:t>
      </w:r>
    </w:p>
    <w:p w14:paraId="0AC9D23D"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Capital Upgrade Expenditure</w:t>
      </w:r>
    </w:p>
    <w:p w14:paraId="7B931AAA"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 xml:space="preserve">Expenditure which enhances an existing asset to provide a higher level of service or </w:t>
      </w:r>
      <w:r w:rsidRPr="006A63FB">
        <w:rPr>
          <w:rFonts w:ascii="Arial Narrow" w:hAnsi="Arial Narrow"/>
          <w:szCs w:val="24"/>
        </w:rPr>
        <w:t>expenditure that will increase the life of the asset beyond that which it had originally.</w:t>
      </w:r>
    </w:p>
    <w:p w14:paraId="5572E7EA"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Current Replacement Cost (CRC)</w:t>
      </w:r>
    </w:p>
    <w:p w14:paraId="3437D519" w14:textId="77777777" w:rsidR="006A63FB" w:rsidRPr="006A63FB" w:rsidRDefault="006A63FB" w:rsidP="005C6449">
      <w:pPr>
        <w:spacing w:after="0" w:line="240" w:lineRule="auto"/>
        <w:rPr>
          <w:rFonts w:ascii="Arial Narrow" w:hAnsi="Arial Narrow"/>
          <w:szCs w:val="24"/>
        </w:rPr>
      </w:pPr>
      <w:r w:rsidRPr="006A63FB">
        <w:rPr>
          <w:rFonts w:ascii="Arial Narrow" w:hAnsi="Arial Narrow"/>
          <w:szCs w:val="24"/>
        </w:rPr>
        <w:t>The cost of replacing the service potential of an existing asset, by reference to some measure of capacity, with an appropriate equivalent asset.</w:t>
      </w:r>
    </w:p>
    <w:p w14:paraId="5CF6F8CC" w14:textId="77777777" w:rsidR="006A63FB" w:rsidRPr="006A63FB" w:rsidRDefault="006A63FB" w:rsidP="005C6449">
      <w:pPr>
        <w:spacing w:after="0" w:line="240" w:lineRule="auto"/>
        <w:rPr>
          <w:rFonts w:ascii="Arial Narrow" w:hAnsi="Arial Narrow"/>
          <w:b/>
          <w:szCs w:val="24"/>
        </w:rPr>
      </w:pPr>
    </w:p>
    <w:p w14:paraId="09B3865A"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Depreciation</w:t>
      </w:r>
    </w:p>
    <w:p w14:paraId="4735CED0" w14:textId="77777777" w:rsidR="006A63FB" w:rsidRPr="006A63FB" w:rsidRDefault="006A63FB" w:rsidP="005C6449">
      <w:pPr>
        <w:spacing w:after="120" w:line="240" w:lineRule="auto"/>
        <w:rPr>
          <w:rFonts w:ascii="Arial Narrow" w:hAnsi="Arial Narrow"/>
          <w:szCs w:val="24"/>
        </w:rPr>
      </w:pPr>
      <w:r w:rsidRPr="006A63FB">
        <w:rPr>
          <w:rFonts w:ascii="Arial Narrow" w:hAnsi="Arial Narrow"/>
          <w:szCs w:val="24"/>
        </w:rPr>
        <w:t>The wearing out, consumption or other loss of value of an asset whether arising from use, passing of time or obsolescence through technological and market changes.</w:t>
      </w:r>
    </w:p>
    <w:p w14:paraId="764BCA2A"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systematic allocation of the depreciable amount (service potential) of an asset over its useful life.</w:t>
      </w:r>
    </w:p>
    <w:p w14:paraId="5497ADD5"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Depreciated Replacement Cost</w:t>
      </w:r>
    </w:p>
    <w:p w14:paraId="59F4B8E4"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replacement cost of an existing asset less an allowance for wear and consumption, having regard for the remaining economic life of the existing asset.</w:t>
      </w:r>
    </w:p>
    <w:p w14:paraId="1C65EDFA"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Expenditure</w:t>
      </w:r>
    </w:p>
    <w:p w14:paraId="0D675FEC"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 xml:space="preserve">The spending of money on goods and services. </w:t>
      </w:r>
    </w:p>
    <w:p w14:paraId="51D79AE1"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Fair value</w:t>
      </w:r>
    </w:p>
    <w:p w14:paraId="575D81C7"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Fair value is defined as the price that would be received to sell an asset or paid to transfer a liability in an orderly transaction between market participants at the measurement date.</w:t>
      </w:r>
    </w:p>
    <w:p w14:paraId="3948998B"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Funding gap *</w:t>
      </w:r>
    </w:p>
    <w:p w14:paraId="313732B4"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Difference between estimated budgets and projected expenditures from the Long Term Financial Plan for maintenance and renewal of assets, totalled over a defined time.</w:t>
      </w:r>
    </w:p>
    <w:p w14:paraId="2DA0E8A0"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Gap Analysis</w:t>
      </w:r>
    </w:p>
    <w:p w14:paraId="110915AC"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A method of assessing the gap between a business’s current asset management practices and the future desirable asset management practices.</w:t>
      </w:r>
    </w:p>
    <w:p w14:paraId="24912F45" w14:textId="77777777" w:rsidR="006C4D12" w:rsidRPr="005C6449" w:rsidRDefault="006A63FB" w:rsidP="005C6449">
      <w:pPr>
        <w:spacing w:line="240" w:lineRule="auto"/>
        <w:rPr>
          <w:rFonts w:ascii="Segoe UI" w:hAnsi="Segoe UI" w:cs="Segoe UI"/>
          <w:b/>
          <w:color w:val="000000"/>
          <w:szCs w:val="24"/>
        </w:rPr>
      </w:pPr>
      <w:r w:rsidRPr="006A63FB">
        <w:rPr>
          <w:rFonts w:ascii="Arial Narrow" w:hAnsi="Arial Narrow"/>
          <w:b/>
          <w:bCs/>
          <w:szCs w:val="24"/>
        </w:rPr>
        <w:t>Integrated Planning and Reporting</w:t>
      </w:r>
      <w:r w:rsidRPr="006A63FB">
        <w:rPr>
          <w:rFonts w:ascii="Arial Narrow" w:hAnsi="Arial Narrow"/>
          <w:b/>
          <w:bCs/>
          <w:szCs w:val="24"/>
        </w:rPr>
        <w:br/>
      </w:r>
      <w:r w:rsidRPr="006A63FB">
        <w:rPr>
          <w:rFonts w:ascii="Arial Narrow" w:hAnsi="Arial Narrow"/>
          <w:szCs w:val="24"/>
        </w:rPr>
        <w:t>A framework for establishing community priorities and linking this information into different parts of a local government’s functions.</w:t>
      </w:r>
    </w:p>
    <w:p w14:paraId="0D14EFE0" w14:textId="77777777" w:rsidR="00FC426C" w:rsidRDefault="00FC426C" w:rsidP="005C6449">
      <w:pPr>
        <w:spacing w:after="0" w:line="240" w:lineRule="auto"/>
        <w:rPr>
          <w:rFonts w:ascii="Arial Narrow" w:hAnsi="Arial Narrow"/>
          <w:b/>
          <w:szCs w:val="24"/>
        </w:rPr>
      </w:pPr>
    </w:p>
    <w:p w14:paraId="66372DEF" w14:textId="77777777" w:rsidR="00FC426C" w:rsidRDefault="00FC426C" w:rsidP="005C6449">
      <w:pPr>
        <w:spacing w:after="0" w:line="240" w:lineRule="auto"/>
        <w:rPr>
          <w:rFonts w:ascii="Arial Narrow" w:hAnsi="Arial Narrow"/>
          <w:b/>
          <w:szCs w:val="24"/>
        </w:rPr>
      </w:pPr>
    </w:p>
    <w:p w14:paraId="70CF1DFD" w14:textId="774326DF"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lastRenderedPageBreak/>
        <w:t xml:space="preserve">Level of </w:t>
      </w:r>
      <w:r w:rsidR="00391CD0">
        <w:rPr>
          <w:rFonts w:ascii="Arial Narrow" w:hAnsi="Arial Narrow"/>
          <w:b/>
          <w:szCs w:val="24"/>
        </w:rPr>
        <w:t>S</w:t>
      </w:r>
      <w:r w:rsidRPr="006A63FB">
        <w:rPr>
          <w:rFonts w:ascii="Arial Narrow" w:hAnsi="Arial Narrow"/>
          <w:b/>
          <w:szCs w:val="24"/>
        </w:rPr>
        <w:t>ervice *</w:t>
      </w:r>
    </w:p>
    <w:p w14:paraId="54BE6E64"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defined service quality for a particular activity or service area against which service performance can be measured. Service levels usually relate to quality, quantity, reliability, responsiveness, environmental, acceptability and cost.</w:t>
      </w:r>
    </w:p>
    <w:p w14:paraId="289DD95B"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 xml:space="preserve">Life Cycle Management </w:t>
      </w:r>
    </w:p>
    <w:p w14:paraId="4AA84888"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total cost of an asset throughout its life including costs for planning, design, construction, acquisition, operation, maintenance, rehabilitation and disposal.</w:t>
      </w:r>
    </w:p>
    <w:p w14:paraId="34F36665" w14:textId="77777777" w:rsidR="006A63FB" w:rsidRPr="006A63FB" w:rsidRDefault="006A63FB" w:rsidP="005C6449">
      <w:pPr>
        <w:spacing w:line="240" w:lineRule="auto"/>
        <w:jc w:val="left"/>
        <w:rPr>
          <w:rFonts w:ascii="Arial Narrow" w:hAnsi="Arial Narrow"/>
          <w:szCs w:val="24"/>
        </w:rPr>
      </w:pPr>
      <w:r w:rsidRPr="006A63FB">
        <w:rPr>
          <w:rFonts w:ascii="Arial Narrow" w:hAnsi="Arial Narrow"/>
          <w:b/>
          <w:szCs w:val="24"/>
        </w:rPr>
        <w:t>Long Term Financial Plan (LTFP)</w:t>
      </w:r>
      <w:r w:rsidRPr="006A63FB">
        <w:rPr>
          <w:rFonts w:ascii="Arial Narrow" w:hAnsi="Arial Narrow"/>
          <w:szCs w:val="24"/>
        </w:rPr>
        <w:br/>
        <w:t>Supported by the Asset Management Planning Process the LTFP is a ten year rolling plan that informs the Corporate Business Plan to activate Strategic Community Plan priorities. From these planning processes, Annual Budgets that are aligned with strategic objectives can be developed.</w:t>
      </w:r>
    </w:p>
    <w:p w14:paraId="78ABF420"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Maintenance</w:t>
      </w:r>
    </w:p>
    <w:p w14:paraId="77C15BBE" w14:textId="77777777" w:rsidR="006A63FB" w:rsidRDefault="006A63FB" w:rsidP="005C6449">
      <w:pPr>
        <w:spacing w:line="240" w:lineRule="auto"/>
        <w:rPr>
          <w:rFonts w:ascii="Arial Narrow" w:hAnsi="Arial Narrow"/>
          <w:szCs w:val="24"/>
        </w:rPr>
      </w:pPr>
      <w:r w:rsidRPr="006A63FB">
        <w:rPr>
          <w:rFonts w:ascii="Arial Narrow" w:hAnsi="Arial Narrow"/>
          <w:szCs w:val="24"/>
        </w:rPr>
        <w:t xml:space="preserve">All actions necessary for retaining as asset as near as practicable to its original </w:t>
      </w:r>
      <w:proofErr w:type="gramStart"/>
      <w:r w:rsidRPr="006A63FB">
        <w:rPr>
          <w:rFonts w:ascii="Arial Narrow" w:hAnsi="Arial Narrow"/>
          <w:szCs w:val="24"/>
        </w:rPr>
        <w:t>condition, but</w:t>
      </w:r>
      <w:proofErr w:type="gramEnd"/>
      <w:r w:rsidRPr="006A63FB">
        <w:rPr>
          <w:rFonts w:ascii="Arial Narrow" w:hAnsi="Arial Narrow"/>
          <w:szCs w:val="24"/>
        </w:rPr>
        <w:t xml:space="preserve"> excluding rehabilitation or renewal.</w:t>
      </w:r>
    </w:p>
    <w:p w14:paraId="4FE98C6C"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Non-Asset Solution</w:t>
      </w:r>
    </w:p>
    <w:p w14:paraId="4DBCE393"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process used to identify the alternative methods of addressing, reducing and/ or increasing demand for services other than by adjusting asset capacity.</w:t>
      </w:r>
    </w:p>
    <w:p w14:paraId="62735E29"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Operating expenditure *</w:t>
      </w:r>
    </w:p>
    <w:p w14:paraId="7EF029FA" w14:textId="77777777" w:rsidR="001E2CDA" w:rsidRPr="005C6449" w:rsidRDefault="006A63FB" w:rsidP="005C6449">
      <w:pPr>
        <w:spacing w:line="240" w:lineRule="auto"/>
        <w:jc w:val="left"/>
        <w:rPr>
          <w:rFonts w:ascii="Arial Narrow" w:hAnsi="Arial Narrow"/>
          <w:szCs w:val="24"/>
        </w:rPr>
      </w:pPr>
      <w:r w:rsidRPr="006A63FB">
        <w:rPr>
          <w:rFonts w:ascii="Arial Narrow" w:hAnsi="Arial Narrow"/>
          <w:szCs w:val="24"/>
        </w:rPr>
        <w:t>Recurrent expenditure, which is continuously required excluding maintenance and depreciation, eg power, fuel, staff, plant equipment, on-costs and overheads.</w:t>
      </w:r>
    </w:p>
    <w:p w14:paraId="5E8748EA"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Planned Maintenance *</w:t>
      </w:r>
    </w:p>
    <w:p w14:paraId="070524D5"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 xml:space="preserve">Repair work that is identified and managed through a maintenance management system, activities include inspection, assessing the condition against failure/breakdown criteria/experience, prioritising scheduling, actioning the work and reporting what was done to develop a maintenance history and improve maintenance and service delivery performance. </w:t>
      </w:r>
    </w:p>
    <w:p w14:paraId="46A4D403" w14:textId="77777777" w:rsidR="00E276A6" w:rsidRDefault="00E276A6" w:rsidP="005C6449">
      <w:pPr>
        <w:spacing w:after="0" w:line="240" w:lineRule="auto"/>
        <w:rPr>
          <w:rFonts w:ascii="Arial Narrow" w:hAnsi="Arial Narrow"/>
          <w:b/>
          <w:szCs w:val="24"/>
        </w:rPr>
      </w:pPr>
    </w:p>
    <w:p w14:paraId="3C665294"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Reactive maintenance *</w:t>
      </w:r>
    </w:p>
    <w:p w14:paraId="3C7AC94A"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Unplanned repair work that is carried out in response to service requests and management/supervisory directions.</w:t>
      </w:r>
    </w:p>
    <w:p w14:paraId="4D88E756" w14:textId="77777777" w:rsidR="006A63FB" w:rsidRPr="006A63FB" w:rsidRDefault="006A63FB" w:rsidP="005C6449">
      <w:pPr>
        <w:spacing w:after="0" w:line="240" w:lineRule="auto"/>
        <w:jc w:val="left"/>
        <w:rPr>
          <w:rFonts w:ascii="Arial Narrow" w:hAnsi="Arial Narrow"/>
          <w:b/>
          <w:szCs w:val="24"/>
        </w:rPr>
      </w:pPr>
      <w:r w:rsidRPr="006A63FB">
        <w:rPr>
          <w:rFonts w:ascii="Arial Narrow" w:hAnsi="Arial Narrow"/>
          <w:b/>
          <w:szCs w:val="24"/>
        </w:rPr>
        <w:t>Remaining life *</w:t>
      </w:r>
      <w:r w:rsidRPr="006A63FB">
        <w:rPr>
          <w:rFonts w:ascii="Arial Narrow" w:hAnsi="Arial Narrow"/>
          <w:b/>
          <w:szCs w:val="24"/>
        </w:rPr>
        <w:br/>
      </w:r>
      <w:r w:rsidRPr="006A63FB">
        <w:rPr>
          <w:rFonts w:ascii="Arial Narrow" w:hAnsi="Arial Narrow"/>
          <w:szCs w:val="24"/>
        </w:rPr>
        <w:t>The time remaining until an asset ceases to provide the required service level or economic usefulness.  Age plus remaining life is economic life.</w:t>
      </w:r>
    </w:p>
    <w:p w14:paraId="181FA4B6"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Replacement Cost</w:t>
      </w:r>
    </w:p>
    <w:p w14:paraId="10FEA520"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cost of replacing an existing asset with a substantially identical new asset.</w:t>
      </w:r>
    </w:p>
    <w:p w14:paraId="14116949"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 xml:space="preserve">Risk </w:t>
      </w:r>
      <w:r w:rsidR="003611B8">
        <w:rPr>
          <w:rFonts w:ascii="Arial Narrow" w:hAnsi="Arial Narrow"/>
          <w:b/>
          <w:szCs w:val="24"/>
        </w:rPr>
        <w:t>M</w:t>
      </w:r>
      <w:r w:rsidRPr="006A63FB">
        <w:rPr>
          <w:rFonts w:ascii="Arial Narrow" w:hAnsi="Arial Narrow"/>
          <w:b/>
          <w:szCs w:val="24"/>
        </w:rPr>
        <w:t>anagement *</w:t>
      </w:r>
    </w:p>
    <w:p w14:paraId="7B00D2E2" w14:textId="77777777" w:rsidR="006A63FB" w:rsidRPr="006A63FB" w:rsidRDefault="006A63FB" w:rsidP="005C6449">
      <w:pPr>
        <w:spacing w:line="240" w:lineRule="auto"/>
        <w:rPr>
          <w:rFonts w:ascii="Arial Narrow" w:hAnsi="Arial Narrow"/>
          <w:szCs w:val="24"/>
        </w:rPr>
      </w:pPr>
      <w:r w:rsidRPr="006A63FB">
        <w:rPr>
          <w:rFonts w:ascii="Arial Narrow" w:hAnsi="Arial Narrow"/>
          <w:szCs w:val="24"/>
        </w:rPr>
        <w:t>The application of a formal process to determine the range of possible values relating to key factors associated with a risk in order to determine the resultant ranges of outcomes and their probable occurrence.</w:t>
      </w:r>
    </w:p>
    <w:p w14:paraId="69A71F3C" w14:textId="77777777" w:rsidR="006A63FB" w:rsidRPr="006A63FB" w:rsidRDefault="006A63FB" w:rsidP="005C6449">
      <w:pPr>
        <w:spacing w:line="240" w:lineRule="auto"/>
        <w:jc w:val="left"/>
        <w:rPr>
          <w:rFonts w:ascii="Arial Narrow" w:hAnsi="Arial Narrow"/>
          <w:szCs w:val="24"/>
        </w:rPr>
      </w:pPr>
      <w:r w:rsidRPr="006A63FB">
        <w:rPr>
          <w:rFonts w:ascii="Arial Narrow" w:hAnsi="Arial Narrow"/>
          <w:b/>
          <w:szCs w:val="24"/>
        </w:rPr>
        <w:t>Strategic Community Plan</w:t>
      </w:r>
      <w:r w:rsidRPr="006A63FB">
        <w:rPr>
          <w:rFonts w:ascii="Arial Narrow" w:hAnsi="Arial Narrow"/>
          <w:szCs w:val="24"/>
        </w:rPr>
        <w:br/>
        <w:t>The strategy and planning document that reflects the longer term (10+ year) community and loca</w:t>
      </w:r>
      <w:r w:rsidR="001859D3">
        <w:rPr>
          <w:rFonts w:ascii="Arial Narrow" w:hAnsi="Arial Narrow"/>
          <w:szCs w:val="24"/>
        </w:rPr>
        <w:t>l</w:t>
      </w:r>
      <w:r w:rsidRPr="006A63FB">
        <w:rPr>
          <w:rFonts w:ascii="Arial Narrow" w:hAnsi="Arial Narrow"/>
          <w:szCs w:val="24"/>
        </w:rPr>
        <w:t xml:space="preserve"> government aspirations and priorities.</w:t>
      </w:r>
    </w:p>
    <w:p w14:paraId="4B6639CE" w14:textId="77777777" w:rsidR="006A63FB" w:rsidRPr="006A63FB" w:rsidRDefault="006A63FB" w:rsidP="005C6449">
      <w:pPr>
        <w:spacing w:after="0" w:line="240" w:lineRule="auto"/>
        <w:rPr>
          <w:rFonts w:ascii="Arial Narrow" w:hAnsi="Arial Narrow"/>
          <w:b/>
          <w:szCs w:val="24"/>
        </w:rPr>
      </w:pPr>
      <w:r w:rsidRPr="006A63FB">
        <w:rPr>
          <w:rFonts w:ascii="Arial Narrow" w:hAnsi="Arial Narrow"/>
          <w:b/>
          <w:szCs w:val="24"/>
        </w:rPr>
        <w:t>Useful life *</w:t>
      </w:r>
    </w:p>
    <w:p w14:paraId="2BC47B17" w14:textId="77777777" w:rsidR="006A63FB" w:rsidRPr="006A63FB" w:rsidRDefault="006A63FB" w:rsidP="005C6449">
      <w:pPr>
        <w:spacing w:after="0" w:line="240" w:lineRule="auto"/>
        <w:rPr>
          <w:rFonts w:ascii="Arial Narrow" w:hAnsi="Arial Narrow"/>
          <w:szCs w:val="24"/>
        </w:rPr>
      </w:pPr>
      <w:r w:rsidRPr="006A63FB">
        <w:rPr>
          <w:rFonts w:ascii="Arial Narrow" w:hAnsi="Arial Narrow"/>
          <w:szCs w:val="24"/>
        </w:rPr>
        <w:t>Either:</w:t>
      </w:r>
    </w:p>
    <w:p w14:paraId="2BB2E05F" w14:textId="77777777" w:rsidR="006A63FB" w:rsidRPr="006A63FB" w:rsidRDefault="006A63FB" w:rsidP="005C6449">
      <w:pPr>
        <w:spacing w:after="0" w:line="240" w:lineRule="auto"/>
        <w:ind w:left="284" w:hanging="284"/>
        <w:rPr>
          <w:rFonts w:ascii="Arial Narrow" w:hAnsi="Arial Narrow"/>
          <w:szCs w:val="24"/>
        </w:rPr>
      </w:pPr>
      <w:r w:rsidRPr="006A63FB">
        <w:rPr>
          <w:rFonts w:ascii="Arial Narrow" w:hAnsi="Arial Narrow"/>
          <w:szCs w:val="24"/>
        </w:rPr>
        <w:t>(a) the period over which an asset is expected to be available for used; or</w:t>
      </w:r>
    </w:p>
    <w:p w14:paraId="08566D23" w14:textId="77777777" w:rsidR="006A63FB" w:rsidRPr="006A63FB" w:rsidRDefault="006A63FB" w:rsidP="005C6449">
      <w:pPr>
        <w:spacing w:after="0" w:line="240" w:lineRule="auto"/>
        <w:ind w:left="284" w:hanging="284"/>
        <w:rPr>
          <w:rFonts w:ascii="Arial Narrow" w:hAnsi="Arial Narrow"/>
          <w:szCs w:val="24"/>
        </w:rPr>
      </w:pPr>
      <w:r w:rsidRPr="006A63FB">
        <w:rPr>
          <w:rFonts w:ascii="Arial Narrow" w:hAnsi="Arial Narrow"/>
          <w:szCs w:val="24"/>
        </w:rPr>
        <w:t xml:space="preserve">(b) the number of production or similar units (i.e. intervals, cycles) that is expected to be obtained from the </w:t>
      </w:r>
      <w:proofErr w:type="gramStart"/>
      <w:r w:rsidRPr="006A63FB">
        <w:rPr>
          <w:rFonts w:ascii="Arial Narrow" w:hAnsi="Arial Narrow"/>
          <w:szCs w:val="24"/>
        </w:rPr>
        <w:t>asset..</w:t>
      </w:r>
      <w:proofErr w:type="gramEnd"/>
    </w:p>
    <w:p w14:paraId="76A59C45" w14:textId="77777777" w:rsidR="006A63FB" w:rsidRPr="006A63FB" w:rsidRDefault="006A63FB" w:rsidP="005C6449">
      <w:pPr>
        <w:spacing w:after="0" w:line="240" w:lineRule="auto"/>
        <w:ind w:left="709" w:hanging="709"/>
        <w:rPr>
          <w:rFonts w:ascii="Arial Narrow" w:hAnsi="Arial Narrow"/>
          <w:szCs w:val="24"/>
        </w:rPr>
      </w:pPr>
      <w:r w:rsidRPr="006A63FB">
        <w:rPr>
          <w:rFonts w:ascii="Arial Narrow" w:hAnsi="Arial Narrow"/>
          <w:szCs w:val="24"/>
        </w:rPr>
        <w:t xml:space="preserve">Source: </w:t>
      </w:r>
      <w:r w:rsidRPr="006A63FB">
        <w:rPr>
          <w:rFonts w:ascii="Arial Narrow" w:hAnsi="Arial Narrow"/>
          <w:b/>
          <w:szCs w:val="24"/>
        </w:rPr>
        <w:t>Government</w:t>
      </w:r>
      <w:r w:rsidRPr="006A63FB">
        <w:rPr>
          <w:rFonts w:ascii="Arial Narrow" w:hAnsi="Arial Narrow"/>
          <w:szCs w:val="24"/>
        </w:rPr>
        <w:t xml:space="preserve"> of WA Asset management framework and guidelines, Glossary</w:t>
      </w:r>
    </w:p>
    <w:p w14:paraId="4A690AFC" w14:textId="77777777" w:rsidR="006A63FB" w:rsidRPr="006A63FB" w:rsidRDefault="006A63FB" w:rsidP="005C6449">
      <w:pPr>
        <w:spacing w:after="0" w:line="240" w:lineRule="auto"/>
        <w:ind w:left="709" w:hanging="709"/>
        <w:rPr>
          <w:rFonts w:ascii="Arial Narrow" w:hAnsi="Arial Narrow"/>
          <w:szCs w:val="24"/>
        </w:rPr>
      </w:pPr>
      <w:r w:rsidRPr="006A63FB">
        <w:rPr>
          <w:rFonts w:ascii="Arial Narrow" w:hAnsi="Arial Narrow"/>
          <w:b/>
          <w:szCs w:val="24"/>
        </w:rPr>
        <w:t>*</w:t>
      </w:r>
      <w:r w:rsidRPr="006A63FB">
        <w:rPr>
          <w:rFonts w:ascii="Arial Narrow" w:hAnsi="Arial Narrow"/>
          <w:szCs w:val="24"/>
        </w:rPr>
        <w:t>Source:  DVC 2006, Glossary ‘Asset Investment Guidelines’</w:t>
      </w:r>
    </w:p>
    <w:p w14:paraId="3AD75291" w14:textId="77777777" w:rsidR="00753FA6" w:rsidRPr="00753FA6" w:rsidRDefault="00753FA6" w:rsidP="00753FA6">
      <w:pPr>
        <w:spacing w:after="0"/>
        <w:rPr>
          <w:rFonts w:ascii="Arial Narrow" w:hAnsi="Arial Narrow"/>
          <w:szCs w:val="24"/>
        </w:rPr>
        <w:sectPr w:rsidR="00753FA6" w:rsidRPr="00753FA6" w:rsidSect="005C6449">
          <w:headerReference w:type="even" r:id="rId13"/>
          <w:headerReference w:type="default" r:id="rId14"/>
          <w:footerReference w:type="default" r:id="rId15"/>
          <w:headerReference w:type="first" r:id="rId16"/>
          <w:footerReference w:type="first" r:id="rId17"/>
          <w:pgSz w:w="11907" w:h="16840" w:code="9"/>
          <w:pgMar w:top="426" w:right="1275" w:bottom="851" w:left="1440" w:header="624" w:footer="510" w:gutter="0"/>
          <w:pgNumType w:fmt="lowerRoman" w:start="1"/>
          <w:cols w:num="2" w:space="709"/>
          <w:docGrid w:linePitch="360"/>
        </w:sectPr>
      </w:pPr>
    </w:p>
    <w:p w14:paraId="71876987" w14:textId="06C9B691" w:rsidR="0013130B" w:rsidRPr="00140CAE" w:rsidRDefault="0013130B" w:rsidP="001819AF">
      <w:pPr>
        <w:pStyle w:val="Heading1"/>
        <w:spacing w:after="120"/>
        <w:rPr>
          <w:color w:val="0070C0"/>
          <w:szCs w:val="40"/>
        </w:rPr>
      </w:pPr>
      <w:bookmarkStart w:id="3" w:name="_Toc56419048"/>
      <w:r w:rsidRPr="00140CAE">
        <w:rPr>
          <w:color w:val="0070C0"/>
          <w:szCs w:val="40"/>
        </w:rPr>
        <w:lastRenderedPageBreak/>
        <w:t>1.</w:t>
      </w:r>
      <w:r w:rsidRPr="00140CAE">
        <w:rPr>
          <w:color w:val="0070C0"/>
          <w:szCs w:val="40"/>
        </w:rPr>
        <w:tab/>
      </w:r>
      <w:r w:rsidR="00140CAE" w:rsidRPr="00140CAE">
        <w:rPr>
          <w:color w:val="0070C0"/>
          <w:szCs w:val="40"/>
        </w:rPr>
        <w:t>Executive Summary</w:t>
      </w:r>
      <w:bookmarkEnd w:id="3"/>
    </w:p>
    <w:p w14:paraId="72E84C9C" w14:textId="77777777" w:rsidR="005E0AFC" w:rsidRPr="0026613B" w:rsidRDefault="005E0AFC" w:rsidP="008231FE">
      <w:r w:rsidRPr="0026613B">
        <w:t xml:space="preserve">With the implementation of the City’s </w:t>
      </w:r>
      <w:r w:rsidR="00197362">
        <w:t xml:space="preserve">Integrated </w:t>
      </w:r>
      <w:r w:rsidRPr="0026613B">
        <w:t xml:space="preserve">Corporate </w:t>
      </w:r>
      <w:proofErr w:type="gramStart"/>
      <w:r w:rsidRPr="0026613B">
        <w:t>planning</w:t>
      </w:r>
      <w:proofErr w:type="gramEnd"/>
      <w:r w:rsidRPr="0026613B">
        <w:t xml:space="preserve"> Framework, the </w:t>
      </w:r>
      <w:r w:rsidR="005E11BD" w:rsidRPr="0026613B">
        <w:t>Footpath</w:t>
      </w:r>
      <w:r w:rsidRPr="0026613B">
        <w:t xml:space="preserve"> Asset Management Plan (</w:t>
      </w:r>
      <w:r w:rsidR="005E11BD" w:rsidRPr="0026613B">
        <w:t>FAMP</w:t>
      </w:r>
      <w:r w:rsidRPr="0026613B">
        <w:t>) has been developed to establish sustainable financial management, robust governance, continuous improvement and best practice management of the City’s infrastructure assets.</w:t>
      </w:r>
    </w:p>
    <w:p w14:paraId="54D00484" w14:textId="04509761" w:rsidR="009F5684" w:rsidRPr="008231FE" w:rsidRDefault="002821BF" w:rsidP="008231FE">
      <w:r w:rsidRPr="0026613B">
        <w:t>The FAMP covers the 2020</w:t>
      </w:r>
      <w:r w:rsidR="00FC426C">
        <w:t>-</w:t>
      </w:r>
      <w:r w:rsidRPr="0026613B">
        <w:t>21</w:t>
      </w:r>
      <w:r w:rsidR="00FC426C">
        <w:t xml:space="preserve">to </w:t>
      </w:r>
      <w:r w:rsidRPr="0026613B">
        <w:t>202</w:t>
      </w:r>
      <w:r w:rsidR="00FC426C">
        <w:t>3-</w:t>
      </w:r>
      <w:r w:rsidRPr="0026613B">
        <w:t xml:space="preserve">24 financial </w:t>
      </w:r>
      <w:r w:rsidR="00140CAE" w:rsidRPr="0026613B">
        <w:t>years and</w:t>
      </w:r>
      <w:r w:rsidR="0086657F">
        <w:t xml:space="preserve"> includes</w:t>
      </w:r>
      <w:r w:rsidR="009F5684" w:rsidRPr="008231FE">
        <w:t xml:space="preserve"> all footpaths within the City. The data utilised in the creation of the Footpath Asset Management Plan is based on the City’s operational asset register and is considered to be approximately 95% accurate.  The condition ratings were established as a result of a full footpath network assessment conducted by </w:t>
      </w:r>
      <w:r w:rsidR="00DD2289" w:rsidRPr="008231FE">
        <w:t xml:space="preserve">Talis </w:t>
      </w:r>
      <w:r w:rsidR="009F5684" w:rsidRPr="008231FE">
        <w:t>L</w:t>
      </w:r>
      <w:r w:rsidR="00DD2289" w:rsidRPr="008231FE">
        <w:t>td</w:t>
      </w:r>
      <w:r w:rsidR="009F5684" w:rsidRPr="008231FE">
        <w:t xml:space="preserve"> in 20</w:t>
      </w:r>
      <w:r w:rsidR="00DD2289" w:rsidRPr="008231FE">
        <w:t>1</w:t>
      </w:r>
      <w:r w:rsidR="009F5684" w:rsidRPr="008231FE">
        <w:t xml:space="preserve">9. </w:t>
      </w:r>
    </w:p>
    <w:p w14:paraId="4B4A21EE" w14:textId="77777777" w:rsidR="00481FB5" w:rsidRPr="008231FE" w:rsidRDefault="00481FB5" w:rsidP="00481FB5">
      <w:r w:rsidRPr="008231FE">
        <w:t xml:space="preserve">The </w:t>
      </w:r>
      <w:r w:rsidR="002C362B" w:rsidRPr="008231FE">
        <w:t>F</w:t>
      </w:r>
      <w:r w:rsidRPr="008231FE">
        <w:t xml:space="preserve">AMP is one of eight AMPs developed by the City and forms part of the City’s Strategic Asset Management Planning Framework. The FAMP will be developed every four years in alignment with the Corporate Planning Framework ensuring that the City’s long term financial planning (LTFP) is supported by timely and accurate asset information and financial projections derived from a structured and strategic asset management planning process. </w:t>
      </w:r>
    </w:p>
    <w:p w14:paraId="76048977" w14:textId="77777777" w:rsidR="00481FB5" w:rsidRPr="008231FE" w:rsidRDefault="00481FB5" w:rsidP="00481FB5">
      <w:r w:rsidRPr="008231FE">
        <w:t xml:space="preserve">The 2020 - 2024 version of the FAMP is developed by the City and in accordance with the International Infrastructure Management Manual (IIMM) </w:t>
      </w:r>
      <w:r w:rsidR="0086657F">
        <w:t xml:space="preserve">and </w:t>
      </w:r>
      <w:r w:rsidRPr="008231FE">
        <w:t xml:space="preserve">has achieved intermediate level status. </w:t>
      </w:r>
    </w:p>
    <w:p w14:paraId="271A8A8D" w14:textId="77777777" w:rsidR="00481FB5" w:rsidRPr="008231FE" w:rsidRDefault="00481FB5" w:rsidP="00616E47">
      <w:pPr>
        <w:keepNext/>
      </w:pPr>
      <w:r w:rsidRPr="008231FE">
        <w:t>The FAMP improvement strategy will guide the Engineering Service Unit to continuously improve services provided, establishing best practice strategic and operational asset management methodologies across people, processes and systems.</w:t>
      </w:r>
    </w:p>
    <w:p w14:paraId="4042017D" w14:textId="77777777" w:rsidR="00982CFB" w:rsidRPr="00140CAE" w:rsidRDefault="00982CFB" w:rsidP="00616E47">
      <w:pPr>
        <w:keepNext/>
        <w:rPr>
          <w:rFonts w:cs="Arial"/>
          <w:iCs/>
          <w:color w:val="0070C0"/>
          <w:szCs w:val="22"/>
        </w:rPr>
      </w:pPr>
      <w:r w:rsidRPr="00140CAE">
        <w:rPr>
          <w:b/>
          <w:iCs/>
          <w:color w:val="0070C0"/>
          <w:szCs w:val="22"/>
        </w:rPr>
        <w:t xml:space="preserve">Table 1.1 Footpath Infrastructure Assets Summary Table as at </w:t>
      </w:r>
      <w:r w:rsidR="004676B3" w:rsidRPr="00140CAE">
        <w:rPr>
          <w:b/>
          <w:iCs/>
          <w:color w:val="0070C0"/>
          <w:szCs w:val="22"/>
        </w:rPr>
        <w:t>October</w:t>
      </w:r>
      <w:r w:rsidRPr="00140CAE">
        <w:rPr>
          <w:b/>
          <w:iCs/>
          <w:color w:val="0070C0"/>
          <w:szCs w:val="22"/>
        </w:rPr>
        <w:t xml:space="preserve"> 2020</w:t>
      </w:r>
    </w:p>
    <w:tbl>
      <w:tblPr>
        <w:tblW w:w="5000" w:type="pct"/>
        <w:tblLook w:val="04A0" w:firstRow="1" w:lastRow="0" w:firstColumn="1" w:lastColumn="0" w:noHBand="0" w:noVBand="1"/>
      </w:tblPr>
      <w:tblGrid>
        <w:gridCol w:w="1102"/>
        <w:gridCol w:w="1137"/>
        <w:gridCol w:w="1301"/>
        <w:gridCol w:w="919"/>
        <w:gridCol w:w="1301"/>
        <w:gridCol w:w="919"/>
        <w:gridCol w:w="1301"/>
        <w:gridCol w:w="1263"/>
      </w:tblGrid>
      <w:tr w:rsidR="00437A94" w:rsidRPr="00837ED0" w14:paraId="60E1A4CA" w14:textId="77777777" w:rsidTr="00B309CC">
        <w:trPr>
          <w:trHeight w:val="806"/>
        </w:trPr>
        <w:tc>
          <w:tcPr>
            <w:tcW w:w="596" w:type="pct"/>
            <w:tcBorders>
              <w:top w:val="single" w:sz="4" w:space="0" w:color="auto"/>
              <w:left w:val="single" w:sz="4" w:space="0" w:color="auto"/>
              <w:bottom w:val="thinThickSmallGap" w:sz="24" w:space="0" w:color="auto"/>
              <w:right w:val="single" w:sz="4" w:space="0" w:color="FFFFFF" w:themeColor="background1"/>
            </w:tcBorders>
            <w:shd w:val="clear" w:color="000000" w:fill="4BACC6"/>
            <w:vAlign w:val="center"/>
            <w:hideMark/>
          </w:tcPr>
          <w:p w14:paraId="3F3FF014" w14:textId="77777777" w:rsidR="00CC555C" w:rsidRPr="0026613B" w:rsidRDefault="00CC555C" w:rsidP="00541118">
            <w:pPr>
              <w:spacing w:after="0"/>
              <w:jc w:val="left"/>
              <w:rPr>
                <w:rFonts w:ascii="Arial Narrow" w:hAnsi="Arial Narrow"/>
                <w:b/>
                <w:bCs/>
                <w:color w:val="FFFFFF"/>
                <w:sz w:val="18"/>
                <w:szCs w:val="18"/>
                <w:lang w:eastAsia="en-AU"/>
              </w:rPr>
            </w:pPr>
            <w:r w:rsidRPr="00B575F8">
              <w:rPr>
                <w:rFonts w:ascii="Arial Narrow" w:hAnsi="Arial Narrow"/>
                <w:b/>
                <w:bCs/>
                <w:color w:val="FFFFFF"/>
                <w:szCs w:val="24"/>
                <w:lang w:eastAsia="en-AU"/>
              </w:rPr>
              <w:t>Asset category</w:t>
            </w:r>
          </w:p>
        </w:tc>
        <w:tc>
          <w:tcPr>
            <w:tcW w:w="615" w:type="pct"/>
            <w:tcBorders>
              <w:top w:val="single" w:sz="4" w:space="0" w:color="auto"/>
              <w:left w:val="single" w:sz="4" w:space="0" w:color="FFFFFF" w:themeColor="background1"/>
              <w:bottom w:val="thinThickSmallGap" w:sz="24" w:space="0" w:color="auto"/>
              <w:right w:val="single" w:sz="8" w:space="0" w:color="FFFFFF"/>
            </w:tcBorders>
            <w:shd w:val="clear" w:color="000000" w:fill="4BACC6"/>
            <w:vAlign w:val="center"/>
            <w:hideMark/>
          </w:tcPr>
          <w:p w14:paraId="12E9F6AD" w14:textId="77777777" w:rsidR="00CC555C" w:rsidRPr="0026613B" w:rsidRDefault="00CC555C" w:rsidP="00541118">
            <w:pPr>
              <w:spacing w:after="0"/>
              <w:jc w:val="left"/>
              <w:rPr>
                <w:rFonts w:ascii="Arial Narrow" w:hAnsi="Arial Narrow"/>
                <w:b/>
                <w:bCs/>
                <w:color w:val="FFFFFF"/>
                <w:sz w:val="18"/>
                <w:szCs w:val="18"/>
                <w:lang w:eastAsia="en-AU"/>
              </w:rPr>
            </w:pPr>
            <w:r w:rsidRPr="00B575F8">
              <w:rPr>
                <w:rFonts w:ascii="Arial Narrow" w:hAnsi="Arial Narrow"/>
                <w:b/>
                <w:bCs/>
                <w:color w:val="FFFFFF"/>
                <w:szCs w:val="24"/>
                <w:lang w:eastAsia="en-AU"/>
              </w:rPr>
              <w:t>Category</w:t>
            </w:r>
          </w:p>
        </w:tc>
        <w:tc>
          <w:tcPr>
            <w:tcW w:w="704" w:type="pct"/>
            <w:tcBorders>
              <w:top w:val="single" w:sz="4" w:space="0" w:color="auto"/>
              <w:left w:val="nil"/>
              <w:bottom w:val="thinThickSmallGap" w:sz="24" w:space="0" w:color="auto"/>
              <w:right w:val="single" w:sz="12" w:space="0" w:color="FFFFFF"/>
            </w:tcBorders>
            <w:shd w:val="clear" w:color="000000" w:fill="4BACC6"/>
            <w:vAlign w:val="center"/>
            <w:hideMark/>
          </w:tcPr>
          <w:p w14:paraId="34A9024C" w14:textId="77777777" w:rsidR="00CC555C" w:rsidRDefault="00CC555C" w:rsidP="00541118">
            <w:pPr>
              <w:spacing w:after="0"/>
              <w:jc w:val="center"/>
              <w:rPr>
                <w:rFonts w:ascii="Arial Narrow" w:hAnsi="Arial Narrow"/>
                <w:b/>
                <w:bCs/>
                <w:color w:val="FFFFFF"/>
                <w:szCs w:val="24"/>
                <w:lang w:eastAsia="en-AU"/>
              </w:rPr>
            </w:pPr>
            <w:r>
              <w:rPr>
                <w:rFonts w:ascii="Arial Narrow" w:hAnsi="Arial Narrow"/>
                <w:b/>
                <w:bCs/>
                <w:color w:val="FFFFFF"/>
                <w:szCs w:val="24"/>
                <w:lang w:eastAsia="en-AU"/>
              </w:rPr>
              <w:t>1</w:t>
            </w:r>
            <w:r w:rsidR="00E74D64">
              <w:rPr>
                <w:rFonts w:ascii="Arial Narrow" w:hAnsi="Arial Narrow"/>
                <w:b/>
                <w:bCs/>
                <w:color w:val="FFFFFF"/>
                <w:szCs w:val="24"/>
                <w:lang w:eastAsia="en-AU"/>
              </w:rPr>
              <w:t>3</w:t>
            </w:r>
            <w:r>
              <w:rPr>
                <w:rFonts w:ascii="Arial Narrow" w:hAnsi="Arial Narrow"/>
                <w:b/>
                <w:bCs/>
                <w:color w:val="FFFFFF"/>
                <w:szCs w:val="24"/>
                <w:lang w:eastAsia="en-AU"/>
              </w:rPr>
              <w:t>/1</w:t>
            </w:r>
            <w:r w:rsidR="00E74D64">
              <w:rPr>
                <w:rFonts w:ascii="Arial Narrow" w:hAnsi="Arial Narrow"/>
                <w:b/>
                <w:bCs/>
                <w:color w:val="FFFFFF"/>
                <w:szCs w:val="24"/>
                <w:lang w:eastAsia="en-AU"/>
              </w:rPr>
              <w:t>4</w:t>
            </w:r>
          </w:p>
          <w:p w14:paraId="52C9E0F8" w14:textId="77777777" w:rsidR="00CC555C" w:rsidRPr="0026613B" w:rsidRDefault="00CC555C" w:rsidP="00541118">
            <w:pPr>
              <w:spacing w:after="0"/>
              <w:jc w:val="center"/>
              <w:rPr>
                <w:rFonts w:ascii="Arial Narrow" w:hAnsi="Arial Narrow"/>
                <w:b/>
                <w:bCs/>
                <w:color w:val="FFFFFF"/>
                <w:szCs w:val="24"/>
                <w:lang w:eastAsia="en-AU"/>
              </w:rPr>
            </w:pPr>
            <w:r w:rsidRPr="0026613B">
              <w:rPr>
                <w:rFonts w:ascii="Arial Narrow" w:hAnsi="Arial Narrow"/>
                <w:b/>
                <w:bCs/>
                <w:color w:val="FFFFFF"/>
                <w:szCs w:val="24"/>
                <w:lang w:eastAsia="en-AU"/>
              </w:rPr>
              <w:t>Dimension</w:t>
            </w:r>
          </w:p>
        </w:tc>
        <w:tc>
          <w:tcPr>
            <w:tcW w:w="497" w:type="pct"/>
            <w:tcBorders>
              <w:top w:val="single" w:sz="4" w:space="0" w:color="auto"/>
              <w:left w:val="nil"/>
              <w:bottom w:val="thinThickSmallGap" w:sz="24" w:space="0" w:color="auto"/>
              <w:right w:val="single" w:sz="12" w:space="0" w:color="FFFFFF"/>
            </w:tcBorders>
            <w:shd w:val="clear" w:color="000000" w:fill="4BACC6"/>
            <w:vAlign w:val="center"/>
            <w:hideMark/>
          </w:tcPr>
          <w:p w14:paraId="25C86F40" w14:textId="77777777" w:rsidR="00CC555C" w:rsidRDefault="00CC555C" w:rsidP="00541118">
            <w:pPr>
              <w:spacing w:after="0"/>
              <w:jc w:val="center"/>
              <w:rPr>
                <w:rFonts w:ascii="Arial Narrow" w:hAnsi="Arial Narrow"/>
                <w:b/>
                <w:bCs/>
                <w:color w:val="FFFFFF"/>
                <w:szCs w:val="24"/>
                <w:lang w:eastAsia="en-AU"/>
              </w:rPr>
            </w:pPr>
            <w:r>
              <w:rPr>
                <w:rFonts w:ascii="Arial Narrow" w:hAnsi="Arial Narrow"/>
                <w:b/>
                <w:bCs/>
                <w:color w:val="FFFFFF"/>
                <w:szCs w:val="24"/>
                <w:lang w:eastAsia="en-AU"/>
              </w:rPr>
              <w:t>1</w:t>
            </w:r>
            <w:r w:rsidR="00E74D64">
              <w:rPr>
                <w:rFonts w:ascii="Arial Narrow" w:hAnsi="Arial Narrow"/>
                <w:b/>
                <w:bCs/>
                <w:color w:val="FFFFFF"/>
                <w:szCs w:val="24"/>
                <w:lang w:eastAsia="en-AU"/>
              </w:rPr>
              <w:t>3</w:t>
            </w:r>
            <w:r>
              <w:rPr>
                <w:rFonts w:ascii="Arial Narrow" w:hAnsi="Arial Narrow"/>
                <w:b/>
                <w:bCs/>
                <w:color w:val="FFFFFF"/>
                <w:szCs w:val="24"/>
                <w:lang w:eastAsia="en-AU"/>
              </w:rPr>
              <w:t>/1</w:t>
            </w:r>
            <w:r w:rsidR="00E74D64">
              <w:rPr>
                <w:rFonts w:ascii="Arial Narrow" w:hAnsi="Arial Narrow"/>
                <w:b/>
                <w:bCs/>
                <w:color w:val="FFFFFF"/>
                <w:szCs w:val="24"/>
                <w:lang w:eastAsia="en-AU"/>
              </w:rPr>
              <w:t>4</w:t>
            </w:r>
          </w:p>
          <w:p w14:paraId="1560A5F9" w14:textId="77777777" w:rsidR="00CC555C" w:rsidRPr="0026613B" w:rsidRDefault="00CC555C" w:rsidP="00541118">
            <w:pPr>
              <w:spacing w:after="0"/>
              <w:jc w:val="center"/>
              <w:rPr>
                <w:rFonts w:ascii="Arial Narrow" w:hAnsi="Arial Narrow"/>
                <w:b/>
                <w:bCs/>
                <w:color w:val="FFFFFF"/>
                <w:szCs w:val="24"/>
                <w:lang w:eastAsia="en-AU"/>
              </w:rPr>
            </w:pPr>
            <w:r w:rsidRPr="0026613B">
              <w:rPr>
                <w:rFonts w:ascii="Arial Narrow" w:hAnsi="Arial Narrow"/>
                <w:b/>
                <w:bCs/>
                <w:color w:val="FFFFFF"/>
                <w:szCs w:val="24"/>
                <w:lang w:eastAsia="en-AU"/>
              </w:rPr>
              <w:t>CRC</w:t>
            </w:r>
          </w:p>
        </w:tc>
        <w:tc>
          <w:tcPr>
            <w:tcW w:w="704" w:type="pct"/>
            <w:tcBorders>
              <w:top w:val="single" w:sz="4" w:space="0" w:color="auto"/>
              <w:left w:val="nil"/>
              <w:bottom w:val="thinThickSmallGap" w:sz="24" w:space="0" w:color="auto"/>
              <w:right w:val="nil"/>
            </w:tcBorders>
            <w:shd w:val="clear" w:color="000000" w:fill="4BACC6"/>
            <w:vAlign w:val="center"/>
            <w:hideMark/>
          </w:tcPr>
          <w:p w14:paraId="37CBEC04" w14:textId="77777777" w:rsidR="00CC555C" w:rsidRDefault="00CC555C" w:rsidP="00541118">
            <w:pPr>
              <w:spacing w:after="0"/>
              <w:jc w:val="left"/>
              <w:rPr>
                <w:rFonts w:ascii="Arial Narrow" w:hAnsi="Arial Narrow"/>
                <w:b/>
                <w:bCs/>
                <w:color w:val="FFFFFF"/>
                <w:szCs w:val="24"/>
                <w:lang w:eastAsia="en-AU"/>
              </w:rPr>
            </w:pPr>
            <w:r>
              <w:rPr>
                <w:rFonts w:ascii="Arial Narrow" w:hAnsi="Arial Narrow"/>
                <w:b/>
                <w:bCs/>
                <w:color w:val="FFFFFF"/>
                <w:szCs w:val="24"/>
                <w:lang w:eastAsia="en-AU"/>
              </w:rPr>
              <w:t>1</w:t>
            </w:r>
            <w:r w:rsidR="00E74D64">
              <w:rPr>
                <w:rFonts w:ascii="Arial Narrow" w:hAnsi="Arial Narrow"/>
                <w:b/>
                <w:bCs/>
                <w:color w:val="FFFFFF"/>
                <w:szCs w:val="24"/>
                <w:lang w:eastAsia="en-AU"/>
              </w:rPr>
              <w:t>6</w:t>
            </w:r>
            <w:r>
              <w:rPr>
                <w:rFonts w:ascii="Arial Narrow" w:hAnsi="Arial Narrow"/>
                <w:b/>
                <w:bCs/>
                <w:color w:val="FFFFFF"/>
                <w:szCs w:val="24"/>
                <w:lang w:eastAsia="en-AU"/>
              </w:rPr>
              <w:t>/1</w:t>
            </w:r>
            <w:r w:rsidR="00E74D64">
              <w:rPr>
                <w:rFonts w:ascii="Arial Narrow" w:hAnsi="Arial Narrow"/>
                <w:b/>
                <w:bCs/>
                <w:color w:val="FFFFFF"/>
                <w:szCs w:val="24"/>
                <w:lang w:eastAsia="en-AU"/>
              </w:rPr>
              <w:t>7</w:t>
            </w:r>
          </w:p>
          <w:p w14:paraId="252A35E3" w14:textId="77777777" w:rsidR="00CC555C" w:rsidRPr="0026613B" w:rsidRDefault="00CC555C" w:rsidP="00541118">
            <w:pPr>
              <w:spacing w:after="0"/>
              <w:jc w:val="left"/>
              <w:rPr>
                <w:rFonts w:ascii="Arial Narrow" w:hAnsi="Arial Narrow"/>
                <w:b/>
                <w:bCs/>
                <w:color w:val="FFFFFF"/>
                <w:szCs w:val="24"/>
                <w:lang w:eastAsia="en-AU"/>
              </w:rPr>
            </w:pPr>
            <w:r w:rsidRPr="0026613B">
              <w:rPr>
                <w:rFonts w:ascii="Arial Narrow" w:hAnsi="Arial Narrow"/>
                <w:b/>
                <w:bCs/>
                <w:color w:val="FFFFFF"/>
                <w:szCs w:val="24"/>
                <w:lang w:eastAsia="en-AU"/>
              </w:rPr>
              <w:t>Dimension</w:t>
            </w:r>
          </w:p>
        </w:tc>
        <w:tc>
          <w:tcPr>
            <w:tcW w:w="497" w:type="pct"/>
            <w:tcBorders>
              <w:top w:val="single" w:sz="4" w:space="0" w:color="auto"/>
              <w:left w:val="single" w:sz="12" w:space="0" w:color="FFFFFF"/>
              <w:bottom w:val="thinThickSmallGap" w:sz="24" w:space="0" w:color="auto"/>
              <w:right w:val="nil"/>
            </w:tcBorders>
            <w:shd w:val="clear" w:color="000000" w:fill="4BACC6"/>
            <w:vAlign w:val="center"/>
            <w:hideMark/>
          </w:tcPr>
          <w:p w14:paraId="5F621689" w14:textId="77777777" w:rsidR="00CC555C" w:rsidRDefault="00CC555C" w:rsidP="00541118">
            <w:pPr>
              <w:spacing w:after="0"/>
              <w:jc w:val="left"/>
              <w:rPr>
                <w:rFonts w:ascii="Arial Narrow" w:hAnsi="Arial Narrow"/>
                <w:b/>
                <w:bCs/>
                <w:color w:val="FFFFFF"/>
                <w:szCs w:val="24"/>
                <w:lang w:eastAsia="en-AU"/>
              </w:rPr>
            </w:pPr>
            <w:r>
              <w:rPr>
                <w:rFonts w:ascii="Arial Narrow" w:hAnsi="Arial Narrow"/>
                <w:b/>
                <w:bCs/>
                <w:color w:val="FFFFFF"/>
                <w:szCs w:val="24"/>
                <w:lang w:eastAsia="en-AU"/>
              </w:rPr>
              <w:t>1</w:t>
            </w:r>
            <w:r w:rsidR="00E74D64">
              <w:rPr>
                <w:rFonts w:ascii="Arial Narrow" w:hAnsi="Arial Narrow"/>
                <w:b/>
                <w:bCs/>
                <w:color w:val="FFFFFF"/>
                <w:szCs w:val="24"/>
                <w:lang w:eastAsia="en-AU"/>
              </w:rPr>
              <w:t>6</w:t>
            </w:r>
            <w:r>
              <w:rPr>
                <w:rFonts w:ascii="Arial Narrow" w:hAnsi="Arial Narrow"/>
                <w:b/>
                <w:bCs/>
                <w:color w:val="FFFFFF"/>
                <w:szCs w:val="24"/>
                <w:lang w:eastAsia="en-AU"/>
              </w:rPr>
              <w:t>/1</w:t>
            </w:r>
            <w:r w:rsidR="00E74D64">
              <w:rPr>
                <w:rFonts w:ascii="Arial Narrow" w:hAnsi="Arial Narrow"/>
                <w:b/>
                <w:bCs/>
                <w:color w:val="FFFFFF"/>
                <w:szCs w:val="24"/>
                <w:lang w:eastAsia="en-AU"/>
              </w:rPr>
              <w:t>7</w:t>
            </w:r>
          </w:p>
          <w:p w14:paraId="51077423" w14:textId="77777777" w:rsidR="00CC555C" w:rsidRPr="0026613B" w:rsidRDefault="00CC555C" w:rsidP="00541118">
            <w:pPr>
              <w:spacing w:after="0"/>
              <w:jc w:val="left"/>
              <w:rPr>
                <w:rFonts w:ascii="Arial Narrow" w:hAnsi="Arial Narrow"/>
                <w:b/>
                <w:bCs/>
                <w:color w:val="FFFFFF"/>
                <w:szCs w:val="24"/>
                <w:lang w:eastAsia="en-AU"/>
              </w:rPr>
            </w:pPr>
            <w:r w:rsidRPr="0026613B">
              <w:rPr>
                <w:rFonts w:ascii="Arial Narrow" w:hAnsi="Arial Narrow"/>
                <w:b/>
                <w:bCs/>
                <w:color w:val="FFFFFF"/>
                <w:szCs w:val="24"/>
                <w:lang w:eastAsia="en-AU"/>
              </w:rPr>
              <w:t>CRC</w:t>
            </w:r>
          </w:p>
        </w:tc>
        <w:tc>
          <w:tcPr>
            <w:tcW w:w="704" w:type="pct"/>
            <w:tcBorders>
              <w:top w:val="single" w:sz="4" w:space="0" w:color="auto"/>
              <w:left w:val="single" w:sz="12" w:space="0" w:color="FFFFFF"/>
              <w:bottom w:val="thinThickSmallGap" w:sz="24" w:space="0" w:color="auto"/>
              <w:right w:val="nil"/>
            </w:tcBorders>
            <w:shd w:val="clear" w:color="000000" w:fill="4BACC6"/>
            <w:vAlign w:val="center"/>
            <w:hideMark/>
          </w:tcPr>
          <w:p w14:paraId="25FF51E9" w14:textId="77777777" w:rsidR="00CC555C" w:rsidRDefault="00CC555C" w:rsidP="00541118">
            <w:pPr>
              <w:spacing w:after="0"/>
              <w:jc w:val="left"/>
              <w:rPr>
                <w:rFonts w:ascii="Arial Narrow" w:hAnsi="Arial Narrow"/>
                <w:b/>
                <w:bCs/>
                <w:color w:val="FFFFFF"/>
                <w:szCs w:val="24"/>
                <w:lang w:eastAsia="en-AU"/>
              </w:rPr>
            </w:pPr>
            <w:r>
              <w:rPr>
                <w:rFonts w:ascii="Arial Narrow" w:hAnsi="Arial Narrow"/>
                <w:b/>
                <w:bCs/>
                <w:color w:val="FFFFFF"/>
                <w:szCs w:val="24"/>
                <w:lang w:eastAsia="en-AU"/>
              </w:rPr>
              <w:t>1</w:t>
            </w:r>
            <w:r w:rsidR="006325DE">
              <w:rPr>
                <w:rFonts w:ascii="Arial Narrow" w:hAnsi="Arial Narrow"/>
                <w:b/>
                <w:bCs/>
                <w:color w:val="FFFFFF"/>
                <w:szCs w:val="24"/>
                <w:lang w:eastAsia="en-AU"/>
              </w:rPr>
              <w:t>9</w:t>
            </w:r>
            <w:r>
              <w:rPr>
                <w:rFonts w:ascii="Arial Narrow" w:hAnsi="Arial Narrow"/>
                <w:b/>
                <w:bCs/>
                <w:color w:val="FFFFFF"/>
                <w:szCs w:val="24"/>
                <w:lang w:eastAsia="en-AU"/>
              </w:rPr>
              <w:t>/</w:t>
            </w:r>
            <w:r w:rsidR="006325DE">
              <w:rPr>
                <w:rFonts w:ascii="Arial Narrow" w:hAnsi="Arial Narrow"/>
                <w:b/>
                <w:bCs/>
                <w:color w:val="FFFFFF"/>
                <w:szCs w:val="24"/>
                <w:lang w:eastAsia="en-AU"/>
              </w:rPr>
              <w:t>20</w:t>
            </w:r>
          </w:p>
          <w:p w14:paraId="4EF62066" w14:textId="77777777" w:rsidR="00CC555C" w:rsidRPr="0026613B" w:rsidRDefault="00CC555C" w:rsidP="00541118">
            <w:pPr>
              <w:spacing w:after="0"/>
              <w:jc w:val="left"/>
              <w:rPr>
                <w:rFonts w:ascii="Arial Narrow" w:hAnsi="Arial Narrow"/>
                <w:b/>
                <w:bCs/>
                <w:color w:val="FFFFFF"/>
                <w:szCs w:val="24"/>
                <w:lang w:eastAsia="en-AU"/>
              </w:rPr>
            </w:pPr>
            <w:r w:rsidRPr="0026613B">
              <w:rPr>
                <w:rFonts w:ascii="Arial Narrow" w:hAnsi="Arial Narrow"/>
                <w:b/>
                <w:bCs/>
                <w:color w:val="FFFFFF"/>
                <w:szCs w:val="24"/>
                <w:lang w:eastAsia="en-AU"/>
              </w:rPr>
              <w:t>Dimension</w:t>
            </w:r>
          </w:p>
        </w:tc>
        <w:tc>
          <w:tcPr>
            <w:tcW w:w="683" w:type="pct"/>
            <w:tcBorders>
              <w:top w:val="single" w:sz="4" w:space="0" w:color="auto"/>
              <w:left w:val="single" w:sz="12" w:space="0" w:color="FFFFFF"/>
              <w:bottom w:val="thinThickSmallGap" w:sz="24" w:space="0" w:color="auto"/>
              <w:right w:val="single" w:sz="4" w:space="0" w:color="auto"/>
            </w:tcBorders>
            <w:shd w:val="clear" w:color="000000" w:fill="4BACC6"/>
            <w:vAlign w:val="center"/>
            <w:hideMark/>
          </w:tcPr>
          <w:p w14:paraId="5345D134" w14:textId="77777777" w:rsidR="00CC555C" w:rsidRDefault="00CC555C" w:rsidP="0026613B">
            <w:pPr>
              <w:spacing w:after="0"/>
              <w:jc w:val="center"/>
              <w:rPr>
                <w:rFonts w:ascii="Arial Narrow" w:hAnsi="Arial Narrow"/>
                <w:b/>
                <w:bCs/>
                <w:color w:val="FFFFFF"/>
                <w:szCs w:val="24"/>
                <w:lang w:eastAsia="en-AU"/>
              </w:rPr>
            </w:pPr>
            <w:r>
              <w:rPr>
                <w:rFonts w:ascii="Arial Narrow" w:hAnsi="Arial Narrow"/>
                <w:b/>
                <w:bCs/>
                <w:color w:val="FFFFFF"/>
                <w:szCs w:val="24"/>
                <w:lang w:eastAsia="en-AU"/>
              </w:rPr>
              <w:t>1</w:t>
            </w:r>
            <w:r w:rsidR="006325DE">
              <w:rPr>
                <w:rFonts w:ascii="Arial Narrow" w:hAnsi="Arial Narrow"/>
                <w:b/>
                <w:bCs/>
                <w:color w:val="FFFFFF"/>
                <w:szCs w:val="24"/>
                <w:lang w:eastAsia="en-AU"/>
              </w:rPr>
              <w:t>9</w:t>
            </w:r>
            <w:r>
              <w:rPr>
                <w:rFonts w:ascii="Arial Narrow" w:hAnsi="Arial Narrow"/>
                <w:b/>
                <w:bCs/>
                <w:color w:val="FFFFFF"/>
                <w:szCs w:val="24"/>
                <w:lang w:eastAsia="en-AU"/>
              </w:rPr>
              <w:t>/</w:t>
            </w:r>
            <w:r w:rsidR="006325DE">
              <w:rPr>
                <w:rFonts w:ascii="Arial Narrow" w:hAnsi="Arial Narrow"/>
                <w:b/>
                <w:bCs/>
                <w:color w:val="FFFFFF"/>
                <w:szCs w:val="24"/>
                <w:lang w:eastAsia="en-AU"/>
              </w:rPr>
              <w:t>20</w:t>
            </w:r>
          </w:p>
          <w:p w14:paraId="3877A42A" w14:textId="77777777" w:rsidR="00CC555C" w:rsidRPr="0026613B" w:rsidRDefault="00CC555C" w:rsidP="0026613B">
            <w:pPr>
              <w:spacing w:after="0"/>
              <w:jc w:val="center"/>
              <w:rPr>
                <w:rFonts w:ascii="Arial Narrow" w:hAnsi="Arial Narrow"/>
                <w:b/>
                <w:bCs/>
                <w:color w:val="FFFFFF"/>
                <w:szCs w:val="24"/>
                <w:lang w:eastAsia="en-AU"/>
              </w:rPr>
            </w:pPr>
            <w:r w:rsidRPr="0026613B">
              <w:rPr>
                <w:rFonts w:ascii="Arial Narrow" w:hAnsi="Arial Narrow"/>
                <w:b/>
                <w:bCs/>
                <w:color w:val="FFFFFF"/>
                <w:szCs w:val="24"/>
                <w:lang w:eastAsia="en-AU"/>
              </w:rPr>
              <w:t>CRC</w:t>
            </w:r>
          </w:p>
        </w:tc>
      </w:tr>
      <w:tr w:rsidR="00437A94" w:rsidRPr="00541118" w14:paraId="6462190B" w14:textId="77777777" w:rsidTr="00B309CC">
        <w:trPr>
          <w:trHeight w:val="700"/>
        </w:trPr>
        <w:tc>
          <w:tcPr>
            <w:tcW w:w="596" w:type="pct"/>
            <w:vMerge w:val="restart"/>
            <w:tcBorders>
              <w:top w:val="thinThickSmallGap" w:sz="24" w:space="0" w:color="auto"/>
              <w:left w:val="single" w:sz="4" w:space="0" w:color="auto"/>
              <w:bottom w:val="single" w:sz="8" w:space="0" w:color="FFFFFF"/>
              <w:right w:val="thinThickSmallGap" w:sz="24" w:space="0" w:color="auto"/>
            </w:tcBorders>
            <w:shd w:val="clear" w:color="000000" w:fill="4BACC6"/>
            <w:vAlign w:val="center"/>
            <w:hideMark/>
          </w:tcPr>
          <w:p w14:paraId="4B7BC8CD" w14:textId="77777777" w:rsidR="00CC555C" w:rsidRPr="0026613B" w:rsidRDefault="00CC555C" w:rsidP="00541118">
            <w:pPr>
              <w:spacing w:after="0"/>
              <w:jc w:val="center"/>
              <w:rPr>
                <w:rFonts w:ascii="Arial Narrow" w:hAnsi="Arial Narrow"/>
                <w:b/>
                <w:bCs/>
                <w:color w:val="FFFFFF"/>
                <w:sz w:val="20"/>
                <w:lang w:eastAsia="en-AU"/>
              </w:rPr>
            </w:pPr>
            <w:r w:rsidRPr="0026613B">
              <w:rPr>
                <w:rFonts w:ascii="Arial Narrow" w:hAnsi="Arial Narrow"/>
                <w:b/>
                <w:bCs/>
                <w:color w:val="FFFFFF"/>
                <w:szCs w:val="24"/>
                <w:lang w:eastAsia="en-AU"/>
              </w:rPr>
              <w:t>Roads</w:t>
            </w:r>
          </w:p>
        </w:tc>
        <w:tc>
          <w:tcPr>
            <w:tcW w:w="615" w:type="pct"/>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66D33E22"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&lt; 1.5m width</w:t>
            </w:r>
          </w:p>
        </w:tc>
        <w:tc>
          <w:tcPr>
            <w:tcW w:w="704" w:type="pct"/>
            <w:tcBorders>
              <w:top w:val="thinThickSmallGap" w:sz="24" w:space="0" w:color="auto"/>
              <w:left w:val="nil"/>
              <w:bottom w:val="single" w:sz="8" w:space="0" w:color="FFFFFF"/>
              <w:right w:val="single" w:sz="8" w:space="0" w:color="FFFFFF"/>
            </w:tcBorders>
            <w:shd w:val="clear" w:color="000000" w:fill="B6DDE8"/>
            <w:vAlign w:val="center"/>
            <w:hideMark/>
          </w:tcPr>
          <w:p w14:paraId="51037A23" w14:textId="77777777" w:rsidR="00CC555C" w:rsidRPr="0026613B" w:rsidRDefault="00CC555C" w:rsidP="00FE1E15">
            <w:pPr>
              <w:spacing w:after="0"/>
              <w:jc w:val="center"/>
              <w:rPr>
                <w:rFonts w:ascii="Arial Narrow" w:hAnsi="Arial Narrow"/>
                <w:color w:val="000000"/>
                <w:sz w:val="20"/>
                <w:lang w:eastAsia="en-AU"/>
              </w:rPr>
            </w:pPr>
            <w:r w:rsidRPr="0026613B">
              <w:rPr>
                <w:rFonts w:ascii="Arial Narrow" w:hAnsi="Arial Narrow"/>
                <w:color w:val="000000"/>
                <w:sz w:val="20"/>
                <w:lang w:eastAsia="en-AU"/>
              </w:rPr>
              <w:t>63.</w:t>
            </w:r>
            <w:r w:rsidR="00FE1E15">
              <w:rPr>
                <w:rFonts w:ascii="Arial Narrow" w:hAnsi="Arial Narrow"/>
                <w:color w:val="000000"/>
                <w:sz w:val="20"/>
                <w:lang w:eastAsia="en-AU"/>
              </w:rPr>
              <w:t>11</w:t>
            </w:r>
            <w:r w:rsidRPr="0026613B">
              <w:rPr>
                <w:rFonts w:ascii="Arial Narrow" w:hAnsi="Arial Narrow"/>
                <w:color w:val="000000"/>
                <w:sz w:val="20"/>
                <w:lang w:eastAsia="en-AU"/>
              </w:rPr>
              <w:t xml:space="preserve"> km</w:t>
            </w:r>
          </w:p>
        </w:tc>
        <w:tc>
          <w:tcPr>
            <w:tcW w:w="497" w:type="pct"/>
            <w:vMerge w:val="restart"/>
            <w:tcBorders>
              <w:top w:val="thinThickSmallGap" w:sz="24" w:space="0" w:color="auto"/>
              <w:left w:val="single" w:sz="8" w:space="0" w:color="FFFFFF"/>
              <w:bottom w:val="single" w:sz="8" w:space="0" w:color="FFFFFF"/>
              <w:right w:val="single" w:sz="8" w:space="0" w:color="FFFFFF"/>
            </w:tcBorders>
            <w:shd w:val="clear" w:color="000000" w:fill="B6DDE8"/>
            <w:vAlign w:val="center"/>
            <w:hideMark/>
          </w:tcPr>
          <w:p w14:paraId="0D717E1D" w14:textId="77777777" w:rsidR="00CC555C" w:rsidRPr="0026613B" w:rsidRDefault="00CC555C" w:rsidP="00FE1E15">
            <w:pPr>
              <w:spacing w:after="0"/>
              <w:jc w:val="center"/>
              <w:rPr>
                <w:rFonts w:ascii="Arial Narrow" w:hAnsi="Arial Narrow"/>
                <w:color w:val="000000"/>
                <w:sz w:val="20"/>
                <w:lang w:eastAsia="en-AU"/>
              </w:rPr>
            </w:pPr>
            <w:r w:rsidRPr="0026613B">
              <w:rPr>
                <w:rFonts w:ascii="Arial Narrow" w:hAnsi="Arial Narrow"/>
                <w:color w:val="000000"/>
                <w:sz w:val="20"/>
                <w:lang w:eastAsia="en-AU"/>
              </w:rPr>
              <w:t>$</w:t>
            </w:r>
            <w:r w:rsidR="00FE1E15">
              <w:rPr>
                <w:rFonts w:ascii="Arial Narrow" w:hAnsi="Arial Narrow"/>
                <w:color w:val="000000"/>
                <w:sz w:val="20"/>
                <w:lang w:eastAsia="en-AU"/>
              </w:rPr>
              <w:t>44</w:t>
            </w:r>
            <w:r w:rsidRPr="0026613B">
              <w:rPr>
                <w:rFonts w:ascii="Arial Narrow" w:hAnsi="Arial Narrow"/>
                <w:color w:val="000000"/>
                <w:sz w:val="20"/>
                <w:lang w:eastAsia="en-AU"/>
              </w:rPr>
              <w:t>.</w:t>
            </w:r>
            <w:r w:rsidR="00FE1E15">
              <w:rPr>
                <w:rFonts w:ascii="Arial Narrow" w:hAnsi="Arial Narrow"/>
                <w:color w:val="000000"/>
                <w:sz w:val="20"/>
                <w:lang w:eastAsia="en-AU"/>
              </w:rPr>
              <w:t>70</w:t>
            </w:r>
            <w:r w:rsidRPr="0026613B">
              <w:rPr>
                <w:rFonts w:ascii="Arial Narrow" w:hAnsi="Arial Narrow"/>
                <w:color w:val="000000"/>
                <w:sz w:val="20"/>
                <w:lang w:eastAsia="en-AU"/>
              </w:rPr>
              <w:t>m</w:t>
            </w:r>
          </w:p>
        </w:tc>
        <w:tc>
          <w:tcPr>
            <w:tcW w:w="704" w:type="pct"/>
            <w:tcBorders>
              <w:top w:val="thinThickSmallGap" w:sz="24" w:space="0" w:color="auto"/>
              <w:left w:val="nil"/>
              <w:bottom w:val="single" w:sz="8" w:space="0" w:color="FFFFFF"/>
              <w:right w:val="nil"/>
            </w:tcBorders>
            <w:shd w:val="clear" w:color="000000" w:fill="B6DDE8"/>
            <w:vAlign w:val="center"/>
            <w:hideMark/>
          </w:tcPr>
          <w:p w14:paraId="55FFD981"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63.70 km</w:t>
            </w:r>
          </w:p>
        </w:tc>
        <w:tc>
          <w:tcPr>
            <w:tcW w:w="497" w:type="pct"/>
            <w:vMerge w:val="restart"/>
            <w:tcBorders>
              <w:top w:val="thinThickSmallGap" w:sz="24" w:space="0" w:color="auto"/>
              <w:left w:val="single" w:sz="8" w:space="0" w:color="FFFFFF"/>
              <w:bottom w:val="single" w:sz="8" w:space="0" w:color="FFFFFF"/>
              <w:right w:val="single" w:sz="8" w:space="0" w:color="FFFFFF"/>
            </w:tcBorders>
            <w:shd w:val="clear" w:color="000000" w:fill="B6DDE8"/>
            <w:vAlign w:val="center"/>
            <w:hideMark/>
          </w:tcPr>
          <w:p w14:paraId="534801D4"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$56.51m</w:t>
            </w:r>
          </w:p>
        </w:tc>
        <w:tc>
          <w:tcPr>
            <w:tcW w:w="704" w:type="pct"/>
            <w:tcBorders>
              <w:top w:val="thinThickSmallGap" w:sz="24" w:space="0" w:color="auto"/>
              <w:left w:val="nil"/>
              <w:bottom w:val="single" w:sz="8" w:space="0" w:color="FFFFFF"/>
              <w:right w:val="nil"/>
            </w:tcBorders>
            <w:shd w:val="clear" w:color="000000" w:fill="B6DDE8"/>
            <w:vAlign w:val="center"/>
            <w:hideMark/>
          </w:tcPr>
          <w:p w14:paraId="0C7B054D"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65 km</w:t>
            </w:r>
          </w:p>
        </w:tc>
        <w:tc>
          <w:tcPr>
            <w:tcW w:w="683" w:type="pct"/>
            <w:vMerge w:val="restart"/>
            <w:tcBorders>
              <w:top w:val="thinThickSmallGap" w:sz="24" w:space="0" w:color="auto"/>
              <w:left w:val="single" w:sz="8" w:space="0" w:color="FFFFFF"/>
              <w:bottom w:val="single" w:sz="8" w:space="0" w:color="FFFFFF"/>
              <w:right w:val="single" w:sz="4" w:space="0" w:color="auto"/>
            </w:tcBorders>
            <w:shd w:val="clear" w:color="000000" w:fill="B6DDE8"/>
            <w:vAlign w:val="center"/>
            <w:hideMark/>
          </w:tcPr>
          <w:p w14:paraId="668701EF" w14:textId="77777777" w:rsidR="00CC555C" w:rsidRPr="0026613B" w:rsidRDefault="00CC555C" w:rsidP="00270A51">
            <w:pPr>
              <w:spacing w:after="0"/>
              <w:jc w:val="center"/>
              <w:rPr>
                <w:rFonts w:ascii="Arial Narrow" w:hAnsi="Arial Narrow"/>
                <w:b/>
                <w:color w:val="000000"/>
                <w:sz w:val="20"/>
                <w:lang w:eastAsia="en-AU"/>
              </w:rPr>
            </w:pPr>
            <w:r w:rsidRPr="0026613B">
              <w:rPr>
                <w:rFonts w:ascii="Arial Narrow" w:hAnsi="Arial Narrow"/>
                <w:b/>
                <w:color w:val="000000"/>
                <w:sz w:val="20"/>
                <w:lang w:eastAsia="en-AU"/>
              </w:rPr>
              <w:t>$7</w:t>
            </w:r>
            <w:r w:rsidR="003137BF">
              <w:rPr>
                <w:rFonts w:ascii="Arial Narrow" w:hAnsi="Arial Narrow"/>
                <w:b/>
                <w:color w:val="000000"/>
                <w:sz w:val="20"/>
                <w:lang w:eastAsia="en-AU"/>
              </w:rPr>
              <w:t>4</w:t>
            </w:r>
            <w:r w:rsidRPr="0026613B">
              <w:rPr>
                <w:rFonts w:ascii="Arial Narrow" w:hAnsi="Arial Narrow"/>
                <w:b/>
                <w:color w:val="000000"/>
                <w:sz w:val="20"/>
                <w:lang w:eastAsia="en-AU"/>
              </w:rPr>
              <w:t>m</w:t>
            </w:r>
          </w:p>
        </w:tc>
      </w:tr>
      <w:tr w:rsidR="00437A94" w:rsidRPr="00541118" w14:paraId="4C29D7D3" w14:textId="77777777" w:rsidTr="00B309CC">
        <w:trPr>
          <w:trHeight w:val="716"/>
        </w:trPr>
        <w:tc>
          <w:tcPr>
            <w:tcW w:w="596" w:type="pct"/>
            <w:vMerge/>
            <w:tcBorders>
              <w:top w:val="single" w:sz="8" w:space="0" w:color="FFFFFF"/>
              <w:left w:val="single" w:sz="4" w:space="0" w:color="auto"/>
              <w:bottom w:val="single" w:sz="8" w:space="0" w:color="FFFFFF"/>
              <w:right w:val="thinThickSmallGap" w:sz="24" w:space="0" w:color="auto"/>
            </w:tcBorders>
            <w:vAlign w:val="center"/>
            <w:hideMark/>
          </w:tcPr>
          <w:p w14:paraId="2267B86E" w14:textId="77777777" w:rsidR="00CC555C" w:rsidRPr="0026613B" w:rsidRDefault="00CC555C" w:rsidP="00541118">
            <w:pPr>
              <w:spacing w:after="0"/>
              <w:jc w:val="left"/>
              <w:rPr>
                <w:rFonts w:ascii="Arial Narrow" w:hAnsi="Arial Narrow"/>
                <w:b/>
                <w:bCs/>
                <w:color w:val="FFFFFF"/>
                <w:sz w:val="20"/>
                <w:lang w:eastAsia="en-AU"/>
              </w:rPr>
            </w:pPr>
          </w:p>
        </w:tc>
        <w:tc>
          <w:tcPr>
            <w:tcW w:w="615" w:type="pct"/>
            <w:tcBorders>
              <w:top w:val="single" w:sz="8" w:space="0" w:color="FFFFFF"/>
              <w:left w:val="thinThickSmallGap" w:sz="24" w:space="0" w:color="auto"/>
              <w:bottom w:val="single" w:sz="8" w:space="0" w:color="FFFFFF"/>
              <w:right w:val="single" w:sz="8" w:space="0" w:color="FFFFFF"/>
            </w:tcBorders>
            <w:shd w:val="clear" w:color="000000" w:fill="DAEEF3"/>
            <w:vAlign w:val="center"/>
            <w:hideMark/>
          </w:tcPr>
          <w:p w14:paraId="001B09FD"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&gt; or = to 1.5m width</w:t>
            </w:r>
          </w:p>
        </w:tc>
        <w:tc>
          <w:tcPr>
            <w:tcW w:w="704" w:type="pct"/>
            <w:tcBorders>
              <w:top w:val="single" w:sz="8" w:space="0" w:color="FFFFFF"/>
              <w:left w:val="nil"/>
              <w:bottom w:val="single" w:sz="8" w:space="0" w:color="FFFFFF"/>
              <w:right w:val="single" w:sz="8" w:space="0" w:color="FFFFFF"/>
            </w:tcBorders>
            <w:shd w:val="clear" w:color="000000" w:fill="DAEEF3"/>
            <w:vAlign w:val="center"/>
            <w:hideMark/>
          </w:tcPr>
          <w:p w14:paraId="285AE0F7" w14:textId="77777777" w:rsidR="00CC555C" w:rsidRPr="0026613B" w:rsidRDefault="00FE1E15" w:rsidP="00FE1E15">
            <w:pPr>
              <w:spacing w:after="0"/>
              <w:jc w:val="center"/>
              <w:rPr>
                <w:rFonts w:ascii="Arial Narrow" w:hAnsi="Arial Narrow"/>
                <w:color w:val="000000"/>
                <w:sz w:val="20"/>
                <w:lang w:eastAsia="en-AU"/>
              </w:rPr>
            </w:pPr>
            <w:r>
              <w:rPr>
                <w:rFonts w:ascii="Arial Narrow" w:hAnsi="Arial Narrow"/>
                <w:color w:val="000000"/>
                <w:sz w:val="20"/>
                <w:lang w:eastAsia="en-AU"/>
              </w:rPr>
              <w:t>470</w:t>
            </w:r>
            <w:r w:rsidR="00CC555C" w:rsidRPr="0026613B">
              <w:rPr>
                <w:rFonts w:ascii="Arial Narrow" w:hAnsi="Arial Narrow"/>
                <w:color w:val="000000"/>
                <w:sz w:val="20"/>
                <w:lang w:eastAsia="en-AU"/>
              </w:rPr>
              <w:t>.</w:t>
            </w:r>
            <w:r>
              <w:rPr>
                <w:rFonts w:ascii="Arial Narrow" w:hAnsi="Arial Narrow"/>
                <w:color w:val="000000"/>
                <w:sz w:val="20"/>
                <w:lang w:eastAsia="en-AU"/>
              </w:rPr>
              <w:t>27</w:t>
            </w:r>
            <w:r w:rsidR="00CC555C" w:rsidRPr="0026613B">
              <w:rPr>
                <w:rFonts w:ascii="Arial Narrow" w:hAnsi="Arial Narrow"/>
                <w:color w:val="000000"/>
                <w:sz w:val="20"/>
                <w:lang w:eastAsia="en-AU"/>
              </w:rPr>
              <w:t xml:space="preserve"> km</w:t>
            </w:r>
          </w:p>
        </w:tc>
        <w:tc>
          <w:tcPr>
            <w:tcW w:w="497" w:type="pct"/>
            <w:vMerge/>
            <w:tcBorders>
              <w:top w:val="single" w:sz="8" w:space="0" w:color="FFFFFF"/>
              <w:left w:val="single" w:sz="8" w:space="0" w:color="FFFFFF"/>
              <w:bottom w:val="single" w:sz="8" w:space="0" w:color="FFFFFF"/>
              <w:right w:val="single" w:sz="8" w:space="0" w:color="FFFFFF"/>
            </w:tcBorders>
            <w:vAlign w:val="center"/>
            <w:hideMark/>
          </w:tcPr>
          <w:p w14:paraId="41752418" w14:textId="77777777" w:rsidR="00CC555C" w:rsidRPr="0026613B" w:rsidRDefault="00CC555C" w:rsidP="00541118">
            <w:pPr>
              <w:spacing w:after="0"/>
              <w:jc w:val="left"/>
              <w:rPr>
                <w:rFonts w:ascii="Arial Narrow" w:hAnsi="Arial Narrow"/>
                <w:color w:val="000000"/>
                <w:sz w:val="20"/>
                <w:lang w:eastAsia="en-AU"/>
              </w:rPr>
            </w:pPr>
          </w:p>
        </w:tc>
        <w:tc>
          <w:tcPr>
            <w:tcW w:w="704" w:type="pct"/>
            <w:tcBorders>
              <w:top w:val="single" w:sz="8" w:space="0" w:color="FFFFFF"/>
              <w:left w:val="nil"/>
              <w:bottom w:val="single" w:sz="8" w:space="0" w:color="FFFFFF"/>
              <w:right w:val="nil"/>
            </w:tcBorders>
            <w:shd w:val="clear" w:color="000000" w:fill="DAEEF3"/>
            <w:vAlign w:val="center"/>
            <w:hideMark/>
          </w:tcPr>
          <w:p w14:paraId="45F69611"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512.78 km</w:t>
            </w:r>
          </w:p>
        </w:tc>
        <w:tc>
          <w:tcPr>
            <w:tcW w:w="497" w:type="pct"/>
            <w:vMerge/>
            <w:tcBorders>
              <w:top w:val="single" w:sz="8" w:space="0" w:color="FFFFFF"/>
              <w:left w:val="single" w:sz="8" w:space="0" w:color="FFFFFF"/>
              <w:bottom w:val="single" w:sz="8" w:space="0" w:color="FFFFFF"/>
              <w:right w:val="single" w:sz="8" w:space="0" w:color="FFFFFF"/>
            </w:tcBorders>
            <w:vAlign w:val="center"/>
            <w:hideMark/>
          </w:tcPr>
          <w:p w14:paraId="1FE7F2DA" w14:textId="77777777" w:rsidR="00CC555C" w:rsidRPr="0026613B" w:rsidRDefault="00CC555C" w:rsidP="00541118">
            <w:pPr>
              <w:spacing w:after="0"/>
              <w:jc w:val="left"/>
              <w:rPr>
                <w:rFonts w:ascii="Arial Narrow" w:hAnsi="Arial Narrow"/>
                <w:color w:val="000000"/>
                <w:sz w:val="20"/>
                <w:lang w:eastAsia="en-AU"/>
              </w:rPr>
            </w:pPr>
          </w:p>
        </w:tc>
        <w:tc>
          <w:tcPr>
            <w:tcW w:w="704" w:type="pct"/>
            <w:tcBorders>
              <w:top w:val="single" w:sz="8" w:space="0" w:color="FFFFFF"/>
              <w:left w:val="nil"/>
              <w:bottom w:val="single" w:sz="8" w:space="0" w:color="FFFFFF"/>
              <w:right w:val="nil"/>
            </w:tcBorders>
            <w:shd w:val="clear" w:color="000000" w:fill="DAEEF3"/>
            <w:vAlign w:val="center"/>
            <w:hideMark/>
          </w:tcPr>
          <w:p w14:paraId="205C6585" w14:textId="77777777" w:rsidR="00CC555C" w:rsidRPr="0026613B" w:rsidRDefault="00CC555C" w:rsidP="003F3A74">
            <w:pPr>
              <w:spacing w:after="0"/>
              <w:jc w:val="left"/>
              <w:rPr>
                <w:rFonts w:ascii="Arial Narrow" w:hAnsi="Arial Narrow"/>
                <w:color w:val="000000"/>
                <w:sz w:val="20"/>
                <w:lang w:eastAsia="en-AU"/>
              </w:rPr>
            </w:pPr>
            <w:r w:rsidRPr="0026613B">
              <w:rPr>
                <w:rFonts w:ascii="Arial Narrow" w:hAnsi="Arial Narrow"/>
                <w:color w:val="000000"/>
                <w:sz w:val="20"/>
                <w:lang w:eastAsia="en-AU"/>
              </w:rPr>
              <w:t>56</w:t>
            </w:r>
            <w:r w:rsidR="003F3A74">
              <w:rPr>
                <w:rFonts w:ascii="Arial Narrow" w:hAnsi="Arial Narrow"/>
                <w:color w:val="000000"/>
                <w:sz w:val="20"/>
                <w:lang w:eastAsia="en-AU"/>
              </w:rPr>
              <w:t>6</w:t>
            </w:r>
            <w:r w:rsidRPr="0026613B">
              <w:rPr>
                <w:rFonts w:ascii="Arial Narrow" w:hAnsi="Arial Narrow"/>
                <w:color w:val="000000"/>
                <w:sz w:val="20"/>
                <w:lang w:eastAsia="en-AU"/>
              </w:rPr>
              <w:t xml:space="preserve"> km</w:t>
            </w:r>
          </w:p>
        </w:tc>
        <w:tc>
          <w:tcPr>
            <w:tcW w:w="683" w:type="pct"/>
            <w:vMerge/>
            <w:tcBorders>
              <w:top w:val="nil"/>
              <w:left w:val="single" w:sz="8" w:space="0" w:color="FFFFFF"/>
              <w:bottom w:val="single" w:sz="8" w:space="0" w:color="FFFFFF"/>
              <w:right w:val="single" w:sz="4" w:space="0" w:color="auto"/>
            </w:tcBorders>
            <w:vAlign w:val="center"/>
            <w:hideMark/>
          </w:tcPr>
          <w:p w14:paraId="13AF6E5E" w14:textId="77777777" w:rsidR="00CC555C" w:rsidRPr="0026613B" w:rsidRDefault="00CC555C" w:rsidP="00541118">
            <w:pPr>
              <w:spacing w:after="0"/>
              <w:jc w:val="left"/>
              <w:rPr>
                <w:rFonts w:ascii="Arial Narrow" w:hAnsi="Arial Narrow"/>
                <w:color w:val="000000"/>
                <w:sz w:val="20"/>
                <w:lang w:eastAsia="en-AU"/>
              </w:rPr>
            </w:pPr>
          </w:p>
        </w:tc>
      </w:tr>
      <w:tr w:rsidR="00437A94" w:rsidRPr="00541118" w14:paraId="7A7AE35B" w14:textId="77777777" w:rsidTr="00B309CC">
        <w:trPr>
          <w:trHeight w:val="684"/>
        </w:trPr>
        <w:tc>
          <w:tcPr>
            <w:tcW w:w="596" w:type="pct"/>
            <w:vMerge w:val="restart"/>
            <w:tcBorders>
              <w:top w:val="single" w:sz="8" w:space="0" w:color="FFFFFF"/>
              <w:left w:val="single" w:sz="4" w:space="0" w:color="auto"/>
              <w:bottom w:val="single" w:sz="8" w:space="0" w:color="FFFFFF"/>
              <w:right w:val="thinThickSmallGap" w:sz="24" w:space="0" w:color="auto"/>
            </w:tcBorders>
            <w:shd w:val="clear" w:color="000000" w:fill="4BACC6"/>
            <w:vAlign w:val="center"/>
            <w:hideMark/>
          </w:tcPr>
          <w:p w14:paraId="7C49A505" w14:textId="77777777" w:rsidR="00CC555C" w:rsidRPr="0026613B" w:rsidRDefault="00CC555C" w:rsidP="00541118">
            <w:pPr>
              <w:spacing w:after="0"/>
              <w:jc w:val="center"/>
              <w:rPr>
                <w:rFonts w:ascii="Arial Narrow" w:hAnsi="Arial Narrow"/>
                <w:b/>
                <w:bCs/>
                <w:color w:val="FFFFFF"/>
                <w:sz w:val="20"/>
                <w:lang w:eastAsia="en-AU"/>
              </w:rPr>
            </w:pPr>
            <w:r w:rsidRPr="0026613B">
              <w:rPr>
                <w:rFonts w:ascii="Arial Narrow" w:hAnsi="Arial Narrow"/>
                <w:b/>
                <w:bCs/>
                <w:color w:val="FFFFFF"/>
                <w:szCs w:val="24"/>
                <w:lang w:eastAsia="en-AU"/>
              </w:rPr>
              <w:t>Parks</w:t>
            </w:r>
          </w:p>
        </w:tc>
        <w:tc>
          <w:tcPr>
            <w:tcW w:w="615" w:type="pct"/>
            <w:tcBorders>
              <w:top w:val="single" w:sz="8" w:space="0" w:color="FFFFFF"/>
              <w:left w:val="thinThickSmallGap" w:sz="24" w:space="0" w:color="auto"/>
              <w:bottom w:val="single" w:sz="8" w:space="0" w:color="FFFFFF"/>
              <w:right w:val="single" w:sz="8" w:space="0" w:color="FFFFFF"/>
            </w:tcBorders>
            <w:shd w:val="clear" w:color="000000" w:fill="B6DDE8"/>
            <w:vAlign w:val="center"/>
            <w:hideMark/>
          </w:tcPr>
          <w:p w14:paraId="304CBC2F"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&lt; 1.5m width</w:t>
            </w:r>
          </w:p>
        </w:tc>
        <w:tc>
          <w:tcPr>
            <w:tcW w:w="704" w:type="pct"/>
            <w:tcBorders>
              <w:top w:val="single" w:sz="8" w:space="0" w:color="FFFFFF"/>
              <w:left w:val="nil"/>
              <w:bottom w:val="single" w:sz="8" w:space="0" w:color="FFFFFF"/>
              <w:right w:val="single" w:sz="8" w:space="0" w:color="FFFFFF"/>
            </w:tcBorders>
            <w:shd w:val="clear" w:color="000000" w:fill="B6DDE8"/>
            <w:vAlign w:val="center"/>
            <w:hideMark/>
          </w:tcPr>
          <w:p w14:paraId="0ADC2B39" w14:textId="77777777" w:rsidR="00CC555C" w:rsidRPr="0026613B" w:rsidRDefault="00CC555C" w:rsidP="00FE1E15">
            <w:pPr>
              <w:spacing w:after="0"/>
              <w:jc w:val="center"/>
              <w:rPr>
                <w:rFonts w:ascii="Arial Narrow" w:hAnsi="Arial Narrow"/>
                <w:color w:val="000000"/>
                <w:sz w:val="20"/>
                <w:lang w:eastAsia="en-AU"/>
              </w:rPr>
            </w:pPr>
            <w:r w:rsidRPr="0026613B">
              <w:rPr>
                <w:rFonts w:ascii="Arial Narrow" w:hAnsi="Arial Narrow"/>
                <w:color w:val="000000"/>
                <w:sz w:val="20"/>
                <w:lang w:eastAsia="en-AU"/>
              </w:rPr>
              <w:t>5.2</w:t>
            </w:r>
            <w:r w:rsidR="00FE1E15">
              <w:rPr>
                <w:rFonts w:ascii="Arial Narrow" w:hAnsi="Arial Narrow"/>
                <w:color w:val="000000"/>
                <w:sz w:val="20"/>
                <w:lang w:eastAsia="en-AU"/>
              </w:rPr>
              <w:t>0</w:t>
            </w:r>
            <w:r w:rsidRPr="0026613B">
              <w:rPr>
                <w:rFonts w:ascii="Arial Narrow" w:hAnsi="Arial Narrow"/>
                <w:color w:val="000000"/>
                <w:sz w:val="20"/>
                <w:lang w:eastAsia="en-AU"/>
              </w:rPr>
              <w:t xml:space="preserve"> km</w:t>
            </w:r>
          </w:p>
        </w:tc>
        <w:tc>
          <w:tcPr>
            <w:tcW w:w="497" w:type="pct"/>
            <w:vMerge w:val="restart"/>
            <w:tcBorders>
              <w:top w:val="single" w:sz="8" w:space="0" w:color="FFFFFF"/>
              <w:left w:val="single" w:sz="8" w:space="0" w:color="FFFFFF"/>
              <w:bottom w:val="single" w:sz="8" w:space="0" w:color="FFFFFF"/>
              <w:right w:val="single" w:sz="8" w:space="0" w:color="FFFFFF"/>
            </w:tcBorders>
            <w:shd w:val="clear" w:color="000000" w:fill="B6DDE8"/>
            <w:vAlign w:val="center"/>
            <w:hideMark/>
          </w:tcPr>
          <w:p w14:paraId="3B72DC82" w14:textId="77777777" w:rsidR="00CC555C" w:rsidRPr="0026613B" w:rsidRDefault="00CC555C" w:rsidP="00FE1E15">
            <w:pPr>
              <w:spacing w:after="0"/>
              <w:jc w:val="center"/>
              <w:rPr>
                <w:rFonts w:ascii="Arial Narrow" w:hAnsi="Arial Narrow"/>
                <w:color w:val="000000"/>
                <w:sz w:val="20"/>
                <w:lang w:eastAsia="en-AU"/>
              </w:rPr>
            </w:pPr>
            <w:r w:rsidRPr="0026613B">
              <w:rPr>
                <w:rFonts w:ascii="Arial Narrow" w:hAnsi="Arial Narrow"/>
                <w:color w:val="000000"/>
                <w:sz w:val="20"/>
                <w:lang w:eastAsia="en-AU"/>
              </w:rPr>
              <w:t>$</w:t>
            </w:r>
            <w:r w:rsidR="00FE1E15">
              <w:rPr>
                <w:rFonts w:ascii="Arial Narrow" w:hAnsi="Arial Narrow"/>
                <w:color w:val="000000"/>
                <w:sz w:val="20"/>
                <w:lang w:eastAsia="en-AU"/>
              </w:rPr>
              <w:t>7</w:t>
            </w:r>
            <w:r w:rsidRPr="0026613B">
              <w:rPr>
                <w:rFonts w:ascii="Arial Narrow" w:hAnsi="Arial Narrow"/>
                <w:color w:val="000000"/>
                <w:sz w:val="20"/>
                <w:lang w:eastAsia="en-AU"/>
              </w:rPr>
              <w:t>.</w:t>
            </w:r>
            <w:r w:rsidR="00FE1E15">
              <w:rPr>
                <w:rFonts w:ascii="Arial Narrow" w:hAnsi="Arial Narrow"/>
                <w:color w:val="000000"/>
                <w:sz w:val="20"/>
                <w:lang w:eastAsia="en-AU"/>
              </w:rPr>
              <w:t>4</w:t>
            </w:r>
            <w:r w:rsidRPr="0026613B">
              <w:rPr>
                <w:rFonts w:ascii="Arial Narrow" w:hAnsi="Arial Narrow"/>
                <w:color w:val="000000"/>
                <w:sz w:val="20"/>
                <w:lang w:eastAsia="en-AU"/>
              </w:rPr>
              <w:t>8m</w:t>
            </w:r>
          </w:p>
        </w:tc>
        <w:tc>
          <w:tcPr>
            <w:tcW w:w="704" w:type="pct"/>
            <w:tcBorders>
              <w:top w:val="single" w:sz="8" w:space="0" w:color="FFFFFF"/>
              <w:left w:val="nil"/>
              <w:bottom w:val="single" w:sz="8" w:space="0" w:color="FFFFFF"/>
              <w:right w:val="nil"/>
            </w:tcBorders>
            <w:shd w:val="clear" w:color="000000" w:fill="B6DDE8"/>
            <w:vAlign w:val="center"/>
            <w:hideMark/>
          </w:tcPr>
          <w:p w14:paraId="408246E9"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5.21 km</w:t>
            </w:r>
          </w:p>
        </w:tc>
        <w:tc>
          <w:tcPr>
            <w:tcW w:w="497" w:type="pct"/>
            <w:vMerge w:val="restart"/>
            <w:tcBorders>
              <w:top w:val="single" w:sz="8" w:space="0" w:color="FFFFFF"/>
              <w:left w:val="single" w:sz="8" w:space="0" w:color="FFFFFF"/>
              <w:bottom w:val="single" w:sz="8" w:space="0" w:color="FFFFFF"/>
              <w:right w:val="single" w:sz="8" w:space="0" w:color="FFFFFF"/>
            </w:tcBorders>
            <w:shd w:val="clear" w:color="000000" w:fill="B6DDE8"/>
            <w:vAlign w:val="center"/>
            <w:hideMark/>
          </w:tcPr>
          <w:p w14:paraId="60E730C2"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$8.78m</w:t>
            </w:r>
          </w:p>
        </w:tc>
        <w:tc>
          <w:tcPr>
            <w:tcW w:w="704" w:type="pct"/>
            <w:tcBorders>
              <w:top w:val="single" w:sz="8" w:space="0" w:color="FFFFFF"/>
              <w:left w:val="nil"/>
              <w:bottom w:val="single" w:sz="8" w:space="0" w:color="FFFFFF"/>
              <w:right w:val="nil"/>
            </w:tcBorders>
            <w:shd w:val="clear" w:color="000000" w:fill="B6DDE8"/>
            <w:vAlign w:val="center"/>
            <w:hideMark/>
          </w:tcPr>
          <w:p w14:paraId="204673B2"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5.44 km</w:t>
            </w:r>
          </w:p>
        </w:tc>
        <w:tc>
          <w:tcPr>
            <w:tcW w:w="683" w:type="pct"/>
            <w:vMerge w:val="restart"/>
            <w:tcBorders>
              <w:top w:val="single" w:sz="8" w:space="0" w:color="FFFFFF"/>
              <w:left w:val="single" w:sz="8" w:space="0" w:color="FFFFFF"/>
              <w:bottom w:val="single" w:sz="8" w:space="0" w:color="FFFFFF"/>
              <w:right w:val="single" w:sz="4" w:space="0" w:color="auto"/>
            </w:tcBorders>
            <w:shd w:val="clear" w:color="000000" w:fill="B6DDE8"/>
            <w:vAlign w:val="center"/>
            <w:hideMark/>
          </w:tcPr>
          <w:p w14:paraId="49D138BF" w14:textId="77777777" w:rsidR="00CC555C" w:rsidRPr="0026613B" w:rsidRDefault="00CC555C" w:rsidP="00270A51">
            <w:pPr>
              <w:spacing w:after="0"/>
              <w:jc w:val="center"/>
              <w:rPr>
                <w:rFonts w:ascii="Arial Narrow" w:hAnsi="Arial Narrow"/>
                <w:b/>
                <w:color w:val="000000"/>
                <w:sz w:val="20"/>
                <w:lang w:eastAsia="en-AU"/>
              </w:rPr>
            </w:pPr>
            <w:r w:rsidRPr="0026613B">
              <w:rPr>
                <w:rFonts w:ascii="Arial Narrow" w:hAnsi="Arial Narrow"/>
                <w:b/>
                <w:color w:val="000000"/>
                <w:sz w:val="20"/>
                <w:lang w:eastAsia="en-AU"/>
              </w:rPr>
              <w:t>$1</w:t>
            </w:r>
            <w:r w:rsidR="003137BF">
              <w:rPr>
                <w:rFonts w:ascii="Arial Narrow" w:hAnsi="Arial Narrow"/>
                <w:b/>
                <w:color w:val="000000"/>
                <w:sz w:val="20"/>
                <w:lang w:eastAsia="en-AU"/>
              </w:rPr>
              <w:t>2</w:t>
            </w:r>
            <w:r w:rsidRPr="0026613B">
              <w:rPr>
                <w:rFonts w:ascii="Arial Narrow" w:hAnsi="Arial Narrow"/>
                <w:b/>
                <w:color w:val="000000"/>
                <w:sz w:val="20"/>
                <w:lang w:eastAsia="en-AU"/>
              </w:rPr>
              <w:t>m</w:t>
            </w:r>
          </w:p>
        </w:tc>
      </w:tr>
      <w:tr w:rsidR="00437A94" w:rsidRPr="00541118" w14:paraId="0FCC59B0" w14:textId="77777777" w:rsidTr="00B309CC">
        <w:trPr>
          <w:trHeight w:val="553"/>
        </w:trPr>
        <w:tc>
          <w:tcPr>
            <w:tcW w:w="596" w:type="pct"/>
            <w:vMerge/>
            <w:tcBorders>
              <w:top w:val="single" w:sz="8" w:space="0" w:color="FFFFFF"/>
              <w:left w:val="single" w:sz="4" w:space="0" w:color="auto"/>
              <w:bottom w:val="double" w:sz="4" w:space="0" w:color="auto"/>
              <w:right w:val="thinThickSmallGap" w:sz="24" w:space="0" w:color="auto"/>
            </w:tcBorders>
            <w:vAlign w:val="center"/>
            <w:hideMark/>
          </w:tcPr>
          <w:p w14:paraId="57711072" w14:textId="77777777" w:rsidR="00CC555C" w:rsidRPr="0026613B" w:rsidRDefault="00CC555C" w:rsidP="00541118">
            <w:pPr>
              <w:spacing w:after="0"/>
              <w:jc w:val="left"/>
              <w:rPr>
                <w:rFonts w:ascii="Arial Narrow" w:hAnsi="Arial Narrow"/>
                <w:b/>
                <w:bCs/>
                <w:color w:val="FFFFFF"/>
                <w:sz w:val="20"/>
                <w:lang w:eastAsia="en-AU"/>
              </w:rPr>
            </w:pPr>
          </w:p>
        </w:tc>
        <w:tc>
          <w:tcPr>
            <w:tcW w:w="615" w:type="pct"/>
            <w:tcBorders>
              <w:top w:val="single" w:sz="8" w:space="0" w:color="FFFFFF"/>
              <w:left w:val="thinThickSmallGap" w:sz="24" w:space="0" w:color="auto"/>
              <w:bottom w:val="double" w:sz="4" w:space="0" w:color="auto"/>
              <w:right w:val="single" w:sz="8" w:space="0" w:color="FFFFFF"/>
            </w:tcBorders>
            <w:shd w:val="clear" w:color="000000" w:fill="DAEEF3"/>
            <w:vAlign w:val="center"/>
            <w:hideMark/>
          </w:tcPr>
          <w:p w14:paraId="2790BEF5" w14:textId="77777777" w:rsidR="00CC555C" w:rsidRPr="0026613B" w:rsidRDefault="00CC555C" w:rsidP="00541118">
            <w:pPr>
              <w:spacing w:after="0"/>
              <w:jc w:val="center"/>
              <w:rPr>
                <w:rFonts w:ascii="Arial Narrow" w:hAnsi="Arial Narrow"/>
                <w:color w:val="000000"/>
                <w:sz w:val="20"/>
                <w:lang w:eastAsia="en-AU"/>
              </w:rPr>
            </w:pPr>
            <w:r w:rsidRPr="0026613B">
              <w:rPr>
                <w:rFonts w:ascii="Arial Narrow" w:hAnsi="Arial Narrow"/>
                <w:color w:val="000000"/>
                <w:sz w:val="20"/>
                <w:lang w:eastAsia="en-AU"/>
              </w:rPr>
              <w:t>&gt; or = to 1.5m width</w:t>
            </w:r>
          </w:p>
        </w:tc>
        <w:tc>
          <w:tcPr>
            <w:tcW w:w="704" w:type="pct"/>
            <w:tcBorders>
              <w:top w:val="single" w:sz="8" w:space="0" w:color="FFFFFF"/>
              <w:left w:val="nil"/>
              <w:bottom w:val="double" w:sz="4" w:space="0" w:color="auto"/>
              <w:right w:val="single" w:sz="8" w:space="0" w:color="FFFFFF"/>
            </w:tcBorders>
            <w:shd w:val="clear" w:color="000000" w:fill="DAEEF3"/>
            <w:vAlign w:val="center"/>
            <w:hideMark/>
          </w:tcPr>
          <w:p w14:paraId="76FA72CD" w14:textId="77777777" w:rsidR="00CC555C" w:rsidRPr="0026613B" w:rsidRDefault="00FE1E15" w:rsidP="00FE1E15">
            <w:pPr>
              <w:spacing w:after="0"/>
              <w:jc w:val="center"/>
              <w:rPr>
                <w:rFonts w:ascii="Arial Narrow" w:hAnsi="Arial Narrow"/>
                <w:color w:val="000000"/>
                <w:sz w:val="20"/>
                <w:lang w:eastAsia="en-AU"/>
              </w:rPr>
            </w:pPr>
            <w:r>
              <w:rPr>
                <w:rFonts w:ascii="Arial Narrow" w:hAnsi="Arial Narrow"/>
                <w:color w:val="000000"/>
                <w:sz w:val="20"/>
                <w:lang w:eastAsia="en-AU"/>
              </w:rPr>
              <w:t>88</w:t>
            </w:r>
            <w:r w:rsidR="00CC555C" w:rsidRPr="0026613B">
              <w:rPr>
                <w:rFonts w:ascii="Arial Narrow" w:hAnsi="Arial Narrow"/>
                <w:color w:val="000000"/>
                <w:sz w:val="20"/>
                <w:lang w:eastAsia="en-AU"/>
              </w:rPr>
              <w:t>.</w:t>
            </w:r>
            <w:r>
              <w:rPr>
                <w:rFonts w:ascii="Arial Narrow" w:hAnsi="Arial Narrow"/>
                <w:color w:val="000000"/>
                <w:sz w:val="20"/>
                <w:lang w:eastAsia="en-AU"/>
              </w:rPr>
              <w:t>50</w:t>
            </w:r>
            <w:r w:rsidR="00CC555C" w:rsidRPr="0026613B">
              <w:rPr>
                <w:rFonts w:ascii="Arial Narrow" w:hAnsi="Arial Narrow"/>
                <w:color w:val="000000"/>
                <w:sz w:val="20"/>
                <w:lang w:eastAsia="en-AU"/>
              </w:rPr>
              <w:t xml:space="preserve"> km</w:t>
            </w:r>
          </w:p>
        </w:tc>
        <w:tc>
          <w:tcPr>
            <w:tcW w:w="497" w:type="pct"/>
            <w:vMerge/>
            <w:tcBorders>
              <w:top w:val="nil"/>
              <w:left w:val="single" w:sz="8" w:space="0" w:color="FFFFFF"/>
              <w:bottom w:val="double" w:sz="4" w:space="0" w:color="auto"/>
              <w:right w:val="single" w:sz="8" w:space="0" w:color="FFFFFF"/>
            </w:tcBorders>
            <w:vAlign w:val="center"/>
            <w:hideMark/>
          </w:tcPr>
          <w:p w14:paraId="01130C5A" w14:textId="77777777" w:rsidR="00CC555C" w:rsidRPr="0026613B" w:rsidRDefault="00CC555C" w:rsidP="00541118">
            <w:pPr>
              <w:spacing w:after="0"/>
              <w:jc w:val="left"/>
              <w:rPr>
                <w:rFonts w:ascii="Arial Narrow" w:hAnsi="Arial Narrow"/>
                <w:color w:val="000000"/>
                <w:sz w:val="20"/>
                <w:lang w:eastAsia="en-AU"/>
              </w:rPr>
            </w:pPr>
          </w:p>
        </w:tc>
        <w:tc>
          <w:tcPr>
            <w:tcW w:w="704" w:type="pct"/>
            <w:tcBorders>
              <w:top w:val="single" w:sz="8" w:space="0" w:color="FFFFFF"/>
              <w:left w:val="nil"/>
              <w:bottom w:val="double" w:sz="4" w:space="0" w:color="auto"/>
              <w:right w:val="nil"/>
            </w:tcBorders>
            <w:shd w:val="clear" w:color="000000" w:fill="DAEEF3"/>
            <w:vAlign w:val="center"/>
            <w:hideMark/>
          </w:tcPr>
          <w:p w14:paraId="52CD7F22"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90.36 km</w:t>
            </w:r>
          </w:p>
        </w:tc>
        <w:tc>
          <w:tcPr>
            <w:tcW w:w="497" w:type="pct"/>
            <w:vMerge/>
            <w:tcBorders>
              <w:top w:val="nil"/>
              <w:left w:val="single" w:sz="8" w:space="0" w:color="FFFFFF"/>
              <w:bottom w:val="double" w:sz="4" w:space="0" w:color="auto"/>
              <w:right w:val="single" w:sz="8" w:space="0" w:color="FFFFFF"/>
            </w:tcBorders>
            <w:vAlign w:val="center"/>
            <w:hideMark/>
          </w:tcPr>
          <w:p w14:paraId="30931C29" w14:textId="77777777" w:rsidR="00CC555C" w:rsidRPr="0026613B" w:rsidRDefault="00CC555C" w:rsidP="00541118">
            <w:pPr>
              <w:spacing w:after="0"/>
              <w:jc w:val="left"/>
              <w:rPr>
                <w:rFonts w:ascii="Arial Narrow" w:hAnsi="Arial Narrow"/>
                <w:color w:val="000000"/>
                <w:sz w:val="20"/>
                <w:lang w:eastAsia="en-AU"/>
              </w:rPr>
            </w:pPr>
          </w:p>
        </w:tc>
        <w:tc>
          <w:tcPr>
            <w:tcW w:w="704" w:type="pct"/>
            <w:tcBorders>
              <w:top w:val="single" w:sz="8" w:space="0" w:color="FFFFFF"/>
              <w:left w:val="nil"/>
              <w:bottom w:val="double" w:sz="4" w:space="0" w:color="auto"/>
              <w:right w:val="nil"/>
            </w:tcBorders>
            <w:shd w:val="clear" w:color="000000" w:fill="DAEEF3"/>
            <w:vAlign w:val="center"/>
            <w:hideMark/>
          </w:tcPr>
          <w:p w14:paraId="16AC29EA" w14:textId="77777777" w:rsidR="00CC555C" w:rsidRPr="0026613B" w:rsidRDefault="00CC555C" w:rsidP="00541118">
            <w:pPr>
              <w:spacing w:after="0"/>
              <w:jc w:val="left"/>
              <w:rPr>
                <w:rFonts w:ascii="Arial Narrow" w:hAnsi="Arial Narrow"/>
                <w:color w:val="000000"/>
                <w:sz w:val="20"/>
                <w:lang w:eastAsia="en-AU"/>
              </w:rPr>
            </w:pPr>
            <w:r w:rsidRPr="0026613B">
              <w:rPr>
                <w:rFonts w:ascii="Arial Narrow" w:hAnsi="Arial Narrow"/>
                <w:color w:val="000000"/>
                <w:sz w:val="20"/>
                <w:lang w:eastAsia="en-AU"/>
              </w:rPr>
              <w:t>105.46 km</w:t>
            </w:r>
          </w:p>
        </w:tc>
        <w:tc>
          <w:tcPr>
            <w:tcW w:w="683" w:type="pct"/>
            <w:vMerge/>
            <w:tcBorders>
              <w:top w:val="nil"/>
              <w:left w:val="single" w:sz="8" w:space="0" w:color="FFFFFF"/>
              <w:bottom w:val="double" w:sz="4" w:space="0" w:color="auto"/>
              <w:right w:val="single" w:sz="4" w:space="0" w:color="auto"/>
            </w:tcBorders>
            <w:vAlign w:val="center"/>
            <w:hideMark/>
          </w:tcPr>
          <w:p w14:paraId="65D0A164" w14:textId="77777777" w:rsidR="00CC555C" w:rsidRPr="0026613B" w:rsidRDefault="00CC555C" w:rsidP="00541118">
            <w:pPr>
              <w:spacing w:after="0"/>
              <w:jc w:val="left"/>
              <w:rPr>
                <w:rFonts w:ascii="Arial Narrow" w:hAnsi="Arial Narrow"/>
                <w:color w:val="000000"/>
                <w:sz w:val="20"/>
                <w:lang w:eastAsia="en-AU"/>
              </w:rPr>
            </w:pPr>
          </w:p>
        </w:tc>
      </w:tr>
      <w:tr w:rsidR="00437A94" w:rsidRPr="00541118" w14:paraId="3E692041" w14:textId="77777777" w:rsidTr="00B309CC">
        <w:trPr>
          <w:trHeight w:val="684"/>
        </w:trPr>
        <w:tc>
          <w:tcPr>
            <w:tcW w:w="596" w:type="pct"/>
            <w:tcBorders>
              <w:top w:val="double" w:sz="4" w:space="0" w:color="auto"/>
              <w:left w:val="single" w:sz="4" w:space="0" w:color="auto"/>
              <w:bottom w:val="single" w:sz="4" w:space="0" w:color="auto"/>
              <w:right w:val="single" w:sz="8" w:space="0" w:color="FFFFFF"/>
            </w:tcBorders>
            <w:shd w:val="clear" w:color="auto" w:fill="FFFFFF" w:themeFill="background1"/>
            <w:vAlign w:val="center"/>
            <w:hideMark/>
          </w:tcPr>
          <w:p w14:paraId="2D997F0B" w14:textId="77777777" w:rsidR="00CC555C" w:rsidRPr="00B309CC" w:rsidRDefault="00CC555C" w:rsidP="00541118">
            <w:pPr>
              <w:spacing w:after="0"/>
              <w:jc w:val="center"/>
              <w:rPr>
                <w:rFonts w:ascii="Arial Narrow" w:hAnsi="Arial Narrow"/>
                <w:b/>
                <w:bCs/>
                <w:sz w:val="20"/>
                <w:lang w:eastAsia="en-AU"/>
              </w:rPr>
            </w:pPr>
            <w:r w:rsidRPr="00B309CC">
              <w:rPr>
                <w:rFonts w:ascii="Arial Narrow" w:hAnsi="Arial Narrow"/>
                <w:b/>
                <w:bCs/>
                <w:szCs w:val="24"/>
                <w:lang w:eastAsia="en-AU"/>
              </w:rPr>
              <w:t>TOTAL</w:t>
            </w:r>
          </w:p>
        </w:tc>
        <w:tc>
          <w:tcPr>
            <w:tcW w:w="615" w:type="pct"/>
            <w:tcBorders>
              <w:top w:val="double" w:sz="4" w:space="0" w:color="auto"/>
              <w:left w:val="nil"/>
              <w:bottom w:val="single" w:sz="4" w:space="0" w:color="auto"/>
              <w:right w:val="single" w:sz="8" w:space="0" w:color="FFFFFF"/>
            </w:tcBorders>
            <w:shd w:val="clear" w:color="auto" w:fill="FFFFFF" w:themeFill="background1"/>
            <w:vAlign w:val="center"/>
            <w:hideMark/>
          </w:tcPr>
          <w:p w14:paraId="74AB951F" w14:textId="77777777" w:rsidR="00CC555C" w:rsidRPr="00B309CC" w:rsidRDefault="00CC555C" w:rsidP="00541118">
            <w:pPr>
              <w:spacing w:after="0"/>
              <w:jc w:val="center"/>
              <w:rPr>
                <w:rFonts w:ascii="Arial Narrow" w:hAnsi="Arial Narrow"/>
                <w:b/>
                <w:bCs/>
                <w:sz w:val="20"/>
                <w:lang w:eastAsia="en-AU"/>
              </w:rPr>
            </w:pPr>
            <w:r w:rsidRPr="00B309CC">
              <w:rPr>
                <w:rFonts w:ascii="Arial Narrow" w:hAnsi="Arial Narrow"/>
                <w:b/>
                <w:bCs/>
                <w:sz w:val="20"/>
                <w:lang w:eastAsia="en-AU"/>
              </w:rPr>
              <w:t> </w:t>
            </w:r>
          </w:p>
        </w:tc>
        <w:tc>
          <w:tcPr>
            <w:tcW w:w="704" w:type="pct"/>
            <w:tcBorders>
              <w:top w:val="double" w:sz="4" w:space="0" w:color="auto"/>
              <w:left w:val="nil"/>
              <w:bottom w:val="single" w:sz="4" w:space="0" w:color="auto"/>
              <w:right w:val="single" w:sz="8" w:space="0" w:color="FFFFFF"/>
            </w:tcBorders>
            <w:shd w:val="clear" w:color="auto" w:fill="FFFFFF" w:themeFill="background1"/>
            <w:vAlign w:val="center"/>
            <w:hideMark/>
          </w:tcPr>
          <w:p w14:paraId="7584B514" w14:textId="77777777" w:rsidR="00CC555C" w:rsidRPr="00B309CC" w:rsidRDefault="00CC555C" w:rsidP="00437A94">
            <w:pPr>
              <w:spacing w:after="0"/>
              <w:jc w:val="center"/>
              <w:rPr>
                <w:rFonts w:ascii="Arial Narrow" w:hAnsi="Arial Narrow"/>
                <w:b/>
                <w:bCs/>
                <w:sz w:val="20"/>
                <w:lang w:eastAsia="en-AU"/>
              </w:rPr>
            </w:pPr>
            <w:r w:rsidRPr="00B309CC">
              <w:rPr>
                <w:rFonts w:ascii="Arial Narrow" w:hAnsi="Arial Narrow"/>
                <w:b/>
                <w:bCs/>
                <w:sz w:val="20"/>
                <w:lang w:eastAsia="en-AU"/>
              </w:rPr>
              <w:t>6</w:t>
            </w:r>
            <w:r w:rsidR="00437A94" w:rsidRPr="00B309CC">
              <w:rPr>
                <w:rFonts w:ascii="Arial Narrow" w:hAnsi="Arial Narrow"/>
                <w:b/>
                <w:bCs/>
                <w:sz w:val="20"/>
                <w:lang w:eastAsia="en-AU"/>
              </w:rPr>
              <w:t>27</w:t>
            </w:r>
            <w:r w:rsidRPr="00B309CC">
              <w:rPr>
                <w:rFonts w:ascii="Arial Narrow" w:hAnsi="Arial Narrow"/>
                <w:b/>
                <w:bCs/>
                <w:sz w:val="20"/>
                <w:lang w:eastAsia="en-AU"/>
              </w:rPr>
              <w:t>.0</w:t>
            </w:r>
            <w:r w:rsidR="00437A94" w:rsidRPr="00B309CC">
              <w:rPr>
                <w:rFonts w:ascii="Arial Narrow" w:hAnsi="Arial Narrow"/>
                <w:b/>
                <w:bCs/>
                <w:sz w:val="20"/>
                <w:lang w:eastAsia="en-AU"/>
              </w:rPr>
              <w:t>8</w:t>
            </w:r>
            <w:r w:rsidRPr="00B309CC">
              <w:rPr>
                <w:rFonts w:ascii="Arial Narrow" w:hAnsi="Arial Narrow"/>
                <w:b/>
                <w:bCs/>
                <w:sz w:val="20"/>
                <w:lang w:eastAsia="en-AU"/>
              </w:rPr>
              <w:t xml:space="preserve"> km</w:t>
            </w:r>
          </w:p>
        </w:tc>
        <w:tc>
          <w:tcPr>
            <w:tcW w:w="497" w:type="pct"/>
            <w:tcBorders>
              <w:top w:val="double" w:sz="4" w:space="0" w:color="auto"/>
              <w:left w:val="nil"/>
              <w:bottom w:val="single" w:sz="4" w:space="0" w:color="auto"/>
              <w:right w:val="nil"/>
            </w:tcBorders>
            <w:shd w:val="clear" w:color="auto" w:fill="FFFFFF" w:themeFill="background1"/>
            <w:vAlign w:val="center"/>
            <w:hideMark/>
          </w:tcPr>
          <w:p w14:paraId="7F23B2FA" w14:textId="77777777" w:rsidR="00CC555C" w:rsidRPr="00B309CC" w:rsidRDefault="00CC555C" w:rsidP="00437A94">
            <w:pPr>
              <w:spacing w:after="0"/>
              <w:jc w:val="left"/>
              <w:rPr>
                <w:rFonts w:ascii="Arial Narrow" w:hAnsi="Arial Narrow"/>
                <w:b/>
                <w:bCs/>
                <w:sz w:val="20"/>
                <w:lang w:eastAsia="en-AU"/>
              </w:rPr>
            </w:pPr>
            <w:r w:rsidRPr="00B309CC">
              <w:rPr>
                <w:rFonts w:ascii="Arial Narrow" w:hAnsi="Arial Narrow"/>
                <w:b/>
                <w:bCs/>
                <w:sz w:val="20"/>
                <w:lang w:eastAsia="en-AU"/>
              </w:rPr>
              <w:t>$</w:t>
            </w:r>
            <w:r w:rsidR="00437A94" w:rsidRPr="00B309CC">
              <w:rPr>
                <w:rFonts w:ascii="Arial Narrow" w:hAnsi="Arial Narrow"/>
                <w:b/>
                <w:bCs/>
                <w:sz w:val="20"/>
                <w:lang w:eastAsia="en-AU"/>
              </w:rPr>
              <w:t>52</w:t>
            </w:r>
            <w:r w:rsidRPr="00B309CC">
              <w:rPr>
                <w:rFonts w:ascii="Arial Narrow" w:hAnsi="Arial Narrow"/>
                <w:b/>
                <w:bCs/>
                <w:sz w:val="20"/>
                <w:lang w:eastAsia="en-AU"/>
              </w:rPr>
              <w:t>.</w:t>
            </w:r>
            <w:r w:rsidR="00437A94" w:rsidRPr="00B309CC">
              <w:rPr>
                <w:rFonts w:ascii="Arial Narrow" w:hAnsi="Arial Narrow"/>
                <w:b/>
                <w:bCs/>
                <w:sz w:val="20"/>
                <w:lang w:eastAsia="en-AU"/>
              </w:rPr>
              <w:t>18</w:t>
            </w:r>
            <w:r w:rsidRPr="00B309CC">
              <w:rPr>
                <w:rFonts w:ascii="Arial Narrow" w:hAnsi="Arial Narrow"/>
                <w:b/>
                <w:bCs/>
                <w:sz w:val="20"/>
                <w:lang w:eastAsia="en-AU"/>
              </w:rPr>
              <w:t>m</w:t>
            </w:r>
          </w:p>
        </w:tc>
        <w:tc>
          <w:tcPr>
            <w:tcW w:w="704" w:type="pct"/>
            <w:tcBorders>
              <w:top w:val="double" w:sz="4" w:space="0" w:color="auto"/>
              <w:left w:val="single" w:sz="8" w:space="0" w:color="FFFFFF"/>
              <w:bottom w:val="single" w:sz="4" w:space="0" w:color="auto"/>
              <w:right w:val="nil"/>
            </w:tcBorders>
            <w:shd w:val="clear" w:color="auto" w:fill="FFFFFF" w:themeFill="background1"/>
            <w:vAlign w:val="center"/>
            <w:hideMark/>
          </w:tcPr>
          <w:p w14:paraId="1796249F" w14:textId="77777777" w:rsidR="00CC555C" w:rsidRPr="00B309CC" w:rsidRDefault="00CC555C" w:rsidP="00541118">
            <w:pPr>
              <w:spacing w:after="0"/>
              <w:jc w:val="center"/>
              <w:rPr>
                <w:rFonts w:ascii="Arial Narrow" w:hAnsi="Arial Narrow"/>
                <w:b/>
                <w:bCs/>
                <w:sz w:val="20"/>
                <w:lang w:eastAsia="en-AU"/>
              </w:rPr>
            </w:pPr>
            <w:r w:rsidRPr="00B309CC">
              <w:rPr>
                <w:rFonts w:ascii="Arial Narrow" w:hAnsi="Arial Narrow"/>
                <w:b/>
                <w:bCs/>
                <w:sz w:val="20"/>
                <w:lang w:eastAsia="en-AU"/>
              </w:rPr>
              <w:t>672.05 km</w:t>
            </w:r>
          </w:p>
        </w:tc>
        <w:tc>
          <w:tcPr>
            <w:tcW w:w="497" w:type="pct"/>
            <w:tcBorders>
              <w:top w:val="double" w:sz="4" w:space="0" w:color="auto"/>
              <w:left w:val="single" w:sz="8" w:space="0" w:color="FFFFFF"/>
              <w:bottom w:val="single" w:sz="4" w:space="0" w:color="auto"/>
              <w:right w:val="nil"/>
            </w:tcBorders>
            <w:shd w:val="clear" w:color="auto" w:fill="FFFFFF" w:themeFill="background1"/>
            <w:vAlign w:val="center"/>
            <w:hideMark/>
          </w:tcPr>
          <w:p w14:paraId="7607AEB7" w14:textId="77777777" w:rsidR="00CC555C" w:rsidRPr="00B309CC" w:rsidRDefault="00CC555C" w:rsidP="00541118">
            <w:pPr>
              <w:spacing w:after="0"/>
              <w:jc w:val="center"/>
              <w:rPr>
                <w:rFonts w:ascii="Arial Narrow" w:hAnsi="Arial Narrow"/>
                <w:b/>
                <w:bCs/>
                <w:sz w:val="20"/>
                <w:lang w:eastAsia="en-AU"/>
              </w:rPr>
            </w:pPr>
            <w:r w:rsidRPr="00B309CC">
              <w:rPr>
                <w:rFonts w:ascii="Arial Narrow" w:hAnsi="Arial Narrow"/>
                <w:b/>
                <w:bCs/>
                <w:sz w:val="20"/>
                <w:lang w:eastAsia="en-AU"/>
              </w:rPr>
              <w:t>$68.23m</w:t>
            </w:r>
          </w:p>
        </w:tc>
        <w:tc>
          <w:tcPr>
            <w:tcW w:w="704" w:type="pct"/>
            <w:tcBorders>
              <w:top w:val="double" w:sz="4" w:space="0" w:color="auto"/>
              <w:left w:val="single" w:sz="8" w:space="0" w:color="FFFFFF"/>
              <w:bottom w:val="single" w:sz="4" w:space="0" w:color="auto"/>
              <w:right w:val="nil"/>
            </w:tcBorders>
            <w:shd w:val="clear" w:color="auto" w:fill="FFFFFF" w:themeFill="background1"/>
            <w:vAlign w:val="center"/>
            <w:hideMark/>
          </w:tcPr>
          <w:p w14:paraId="1FC6A336" w14:textId="77777777" w:rsidR="00CC555C" w:rsidRPr="00B309CC" w:rsidRDefault="00CC555C" w:rsidP="00541118">
            <w:pPr>
              <w:spacing w:after="0"/>
              <w:jc w:val="center"/>
              <w:rPr>
                <w:rFonts w:ascii="Arial Narrow" w:hAnsi="Arial Narrow"/>
                <w:b/>
                <w:bCs/>
                <w:sz w:val="20"/>
                <w:lang w:eastAsia="en-AU"/>
              </w:rPr>
            </w:pPr>
            <w:r w:rsidRPr="00B309CC">
              <w:rPr>
                <w:rFonts w:ascii="Arial Narrow" w:hAnsi="Arial Narrow"/>
                <w:b/>
                <w:bCs/>
                <w:sz w:val="20"/>
                <w:lang w:eastAsia="en-AU"/>
              </w:rPr>
              <w:t>736.73 km</w:t>
            </w:r>
          </w:p>
        </w:tc>
        <w:tc>
          <w:tcPr>
            <w:tcW w:w="683" w:type="pct"/>
            <w:tcBorders>
              <w:top w:val="double" w:sz="4" w:space="0" w:color="auto"/>
              <w:left w:val="single" w:sz="8" w:space="0" w:color="FFFFFF"/>
              <w:bottom w:val="single" w:sz="4" w:space="0" w:color="auto"/>
              <w:right w:val="single" w:sz="4" w:space="0" w:color="auto"/>
            </w:tcBorders>
            <w:shd w:val="clear" w:color="auto" w:fill="FFFFFF" w:themeFill="background1"/>
            <w:vAlign w:val="center"/>
            <w:hideMark/>
          </w:tcPr>
          <w:p w14:paraId="2270047E" w14:textId="77777777" w:rsidR="00CC555C" w:rsidRPr="00B309CC" w:rsidRDefault="00CC555C" w:rsidP="00270A51">
            <w:pPr>
              <w:spacing w:after="0"/>
              <w:jc w:val="center"/>
              <w:rPr>
                <w:rFonts w:ascii="Arial Narrow" w:hAnsi="Arial Narrow"/>
                <w:b/>
                <w:bCs/>
                <w:sz w:val="20"/>
                <w:lang w:eastAsia="en-AU"/>
              </w:rPr>
            </w:pPr>
            <w:r w:rsidRPr="00B309CC">
              <w:rPr>
                <w:rFonts w:ascii="Arial Narrow" w:hAnsi="Arial Narrow"/>
                <w:b/>
                <w:bCs/>
                <w:sz w:val="20"/>
                <w:lang w:eastAsia="en-AU"/>
              </w:rPr>
              <w:t>$8</w:t>
            </w:r>
            <w:r w:rsidR="00A03D1E" w:rsidRPr="00B309CC">
              <w:rPr>
                <w:rFonts w:ascii="Arial Narrow" w:hAnsi="Arial Narrow"/>
                <w:b/>
                <w:bCs/>
                <w:sz w:val="20"/>
                <w:lang w:eastAsia="en-AU"/>
              </w:rPr>
              <w:t>6</w:t>
            </w:r>
            <w:r w:rsidRPr="00B309CC">
              <w:rPr>
                <w:rFonts w:ascii="Arial Narrow" w:hAnsi="Arial Narrow"/>
                <w:b/>
                <w:bCs/>
                <w:sz w:val="20"/>
                <w:lang w:eastAsia="en-AU"/>
              </w:rPr>
              <w:t>m</w:t>
            </w:r>
          </w:p>
        </w:tc>
      </w:tr>
    </w:tbl>
    <w:p w14:paraId="47520C8F" w14:textId="77777777" w:rsidR="0013130B" w:rsidRDefault="00B05FC6" w:rsidP="00BA5F6E">
      <w:r>
        <w:lastRenderedPageBreak/>
        <w:t>T</w:t>
      </w:r>
      <w:r w:rsidR="0013130B">
        <w:t xml:space="preserve">he key messages from the </w:t>
      </w:r>
      <w:r w:rsidR="00D32763">
        <w:t>2020 Footpath</w:t>
      </w:r>
      <w:r w:rsidR="0013130B">
        <w:t xml:space="preserve"> Infrastructure Asset Management Plan are summarised below.  </w:t>
      </w:r>
    </w:p>
    <w:p w14:paraId="31B8981A" w14:textId="77777777" w:rsidR="009522D2" w:rsidRDefault="009522D2" w:rsidP="009522D2">
      <w:pPr>
        <w:rPr>
          <w:b/>
        </w:rPr>
      </w:pPr>
      <w:r w:rsidRPr="007D3682">
        <w:rPr>
          <w:b/>
        </w:rPr>
        <w:t>Asset Data &amp; Condition Analysis</w:t>
      </w:r>
    </w:p>
    <w:p w14:paraId="11AFE23C" w14:textId="77777777" w:rsidR="009522D2" w:rsidRDefault="009522D2" w:rsidP="00BA5F6E">
      <w:pPr>
        <w:pStyle w:val="ListParagraph"/>
        <w:numPr>
          <w:ilvl w:val="0"/>
          <w:numId w:val="31"/>
        </w:numPr>
        <w:rPr>
          <w:rFonts w:cs="Arial"/>
        </w:rPr>
      </w:pPr>
      <w:r w:rsidRPr="00270A51">
        <w:t>The data utilised to develop the FAMP is considered to be approximately 95% accurate and of medium confidence</w:t>
      </w:r>
      <w:r w:rsidRPr="00BA5F6E">
        <w:rPr>
          <w:rFonts w:cs="Arial"/>
        </w:rPr>
        <w:t>.</w:t>
      </w:r>
      <w:r w:rsidR="00D32763" w:rsidRPr="00BA5F6E">
        <w:rPr>
          <w:rFonts w:cs="Arial"/>
        </w:rPr>
        <w:t xml:space="preserve"> The recent condition ratings were established by network assessment conducted by Talis in </w:t>
      </w:r>
      <w:proofErr w:type="gramStart"/>
      <w:r w:rsidR="00D32763" w:rsidRPr="00BA5F6E">
        <w:rPr>
          <w:rFonts w:cs="Arial"/>
        </w:rPr>
        <w:t>August,</w:t>
      </w:r>
      <w:proofErr w:type="gramEnd"/>
      <w:r w:rsidR="00D32763" w:rsidRPr="00BA5F6E">
        <w:rPr>
          <w:rFonts w:cs="Arial"/>
        </w:rPr>
        <w:t xml:space="preserve"> 2019.</w:t>
      </w:r>
    </w:p>
    <w:p w14:paraId="2386C189" w14:textId="77777777" w:rsidR="00304E05" w:rsidRPr="00304E05" w:rsidRDefault="00304E05" w:rsidP="00304E05">
      <w:pPr>
        <w:pStyle w:val="ListParagraph"/>
        <w:rPr>
          <w:rFonts w:cs="Arial"/>
        </w:rPr>
      </w:pPr>
    </w:p>
    <w:p w14:paraId="03BB5EEB" w14:textId="77777777" w:rsidR="009522D2" w:rsidRPr="00270A51" w:rsidRDefault="009522D2" w:rsidP="00A06614">
      <w:pPr>
        <w:pStyle w:val="ListParagraph"/>
        <w:numPr>
          <w:ilvl w:val="0"/>
          <w:numId w:val="31"/>
        </w:numPr>
      </w:pPr>
      <w:r w:rsidRPr="00270A51">
        <w:t xml:space="preserve">The FAMP Infrastructure assets are in an excellent to moderate condition with </w:t>
      </w:r>
      <w:r w:rsidR="001F08E6" w:rsidRPr="00270A51">
        <w:t>32</w:t>
      </w:r>
      <w:r w:rsidRPr="00270A51">
        <w:t xml:space="preserve">% of the assets in condition 1, </w:t>
      </w:r>
      <w:r w:rsidR="001F08E6" w:rsidRPr="00270A51">
        <w:t>42</w:t>
      </w:r>
      <w:r w:rsidRPr="00270A51">
        <w:t xml:space="preserve">% in condition 2 and </w:t>
      </w:r>
      <w:r w:rsidR="001F08E6" w:rsidRPr="00270A51">
        <w:t>20</w:t>
      </w:r>
      <w:r w:rsidRPr="00270A51">
        <w:t xml:space="preserve">% in condition 3. See legend at </w:t>
      </w:r>
      <w:r w:rsidRPr="0026613B">
        <w:t>Graph 5.1.</w:t>
      </w:r>
      <w:r w:rsidR="001E29F1">
        <w:t>2A</w:t>
      </w:r>
      <w:r w:rsidRPr="0026613B">
        <w:t xml:space="preserve"> Asset Condition Profile.</w:t>
      </w:r>
    </w:p>
    <w:p w14:paraId="46350F0C" w14:textId="77777777" w:rsidR="0013130B" w:rsidRDefault="0013130B" w:rsidP="0013130B">
      <w:pPr>
        <w:pStyle w:val="BodyText"/>
        <w:rPr>
          <w:rFonts w:cs="Arial"/>
          <w:b/>
          <w:szCs w:val="24"/>
        </w:rPr>
      </w:pPr>
      <w:r>
        <w:rPr>
          <w:rFonts w:cs="Arial"/>
          <w:b/>
          <w:szCs w:val="24"/>
        </w:rPr>
        <w:t>Level of Service and Risk Management</w:t>
      </w:r>
    </w:p>
    <w:p w14:paraId="7C8F299B" w14:textId="77777777" w:rsidR="0013130B" w:rsidRPr="00687B34" w:rsidRDefault="0013130B" w:rsidP="00A06614">
      <w:r w:rsidRPr="00687B34">
        <w:t xml:space="preserve">Level of Service is a measurable target which determines the type and extent of services delivered to the Community. </w:t>
      </w:r>
      <w:r w:rsidR="00103071">
        <w:t>Footpath</w:t>
      </w:r>
      <w:r w:rsidR="00103071" w:rsidRPr="008B092F">
        <w:t xml:space="preserve"> </w:t>
      </w:r>
      <w:r w:rsidR="00103071" w:rsidRPr="008763C1">
        <w:t xml:space="preserve">Infrastructure levels are measured internally and, by the community to determine adequate </w:t>
      </w:r>
      <w:r w:rsidR="00103071" w:rsidRPr="008B092F">
        <w:t>provision.</w:t>
      </w:r>
      <w:r w:rsidR="00AC2891">
        <w:t xml:space="preserve"> </w:t>
      </w:r>
      <w:r w:rsidRPr="00687B34">
        <w:t>The following findings have been drawn from the CATALYSE Pty Ltd Survey</w:t>
      </w:r>
      <w:r w:rsidR="008406AE">
        <w:t xml:space="preserve"> </w:t>
      </w:r>
      <w:r w:rsidR="00A56E45">
        <w:t>201</w:t>
      </w:r>
      <w:r w:rsidR="008406AE">
        <w:t>9</w:t>
      </w:r>
      <w:r w:rsidRPr="00687B34">
        <w:t>.</w:t>
      </w:r>
    </w:p>
    <w:p w14:paraId="1B3C0EE1" w14:textId="77777777" w:rsidR="0013130B" w:rsidRDefault="0013130B" w:rsidP="00A06614">
      <w:pPr>
        <w:pStyle w:val="ListParagraph"/>
        <w:numPr>
          <w:ilvl w:val="0"/>
          <w:numId w:val="32"/>
        </w:numPr>
      </w:pPr>
      <w:r w:rsidRPr="00687B34">
        <w:t xml:space="preserve">Overall Satisfaction with the City of Cockburn has increased by </w:t>
      </w:r>
      <w:r w:rsidR="00720CCC">
        <w:t>1</w:t>
      </w:r>
      <w:r w:rsidR="00A56E45">
        <w:t>%</w:t>
      </w:r>
      <w:r w:rsidR="00402BBD">
        <w:t xml:space="preserve"> from </w:t>
      </w:r>
      <w:r w:rsidR="00A56E45">
        <w:t>201</w:t>
      </w:r>
      <w:r w:rsidR="00720CCC">
        <w:t>7</w:t>
      </w:r>
      <w:r w:rsidR="00A56E45">
        <w:t xml:space="preserve"> to 9</w:t>
      </w:r>
      <w:r w:rsidR="00720CCC">
        <w:t>8</w:t>
      </w:r>
      <w:r w:rsidR="00A56E45">
        <w:t>% in 201</w:t>
      </w:r>
      <w:r w:rsidR="00720CCC">
        <w:t>9</w:t>
      </w:r>
      <w:r w:rsidR="00304E05">
        <w:t>.</w:t>
      </w:r>
    </w:p>
    <w:p w14:paraId="6A13930B" w14:textId="77777777" w:rsidR="00304E05" w:rsidRPr="00687B34" w:rsidRDefault="00304E05" w:rsidP="00304E05">
      <w:pPr>
        <w:pStyle w:val="ListParagraph"/>
      </w:pPr>
    </w:p>
    <w:p w14:paraId="0BFD0DE0" w14:textId="77777777" w:rsidR="0013130B" w:rsidRDefault="0013130B" w:rsidP="00A06614">
      <w:pPr>
        <w:pStyle w:val="ListParagraph"/>
        <w:numPr>
          <w:ilvl w:val="0"/>
          <w:numId w:val="32"/>
        </w:numPr>
      </w:pPr>
      <w:r w:rsidRPr="00687B34">
        <w:t>Community satisfaction for the City’s footpath mai</w:t>
      </w:r>
      <w:r w:rsidR="00402BBD">
        <w:t xml:space="preserve">ntenance service is high, with </w:t>
      </w:r>
      <w:r w:rsidR="00720CCC">
        <w:t>82</w:t>
      </w:r>
      <w:r w:rsidR="00A56E45">
        <w:t>%</w:t>
      </w:r>
      <w:r w:rsidRPr="00687B34">
        <w:t xml:space="preserve"> of those surveyed either delighted or satisfied.</w:t>
      </w:r>
    </w:p>
    <w:p w14:paraId="060A0E0A" w14:textId="77777777" w:rsidR="00304E05" w:rsidRPr="00687B34" w:rsidRDefault="00304E05" w:rsidP="00304E05">
      <w:pPr>
        <w:pStyle w:val="ListParagraph"/>
      </w:pPr>
    </w:p>
    <w:p w14:paraId="4AC949EF" w14:textId="77777777" w:rsidR="00052A35" w:rsidRPr="00402BBD" w:rsidRDefault="00052A35" w:rsidP="00A06614">
      <w:pPr>
        <w:pStyle w:val="ListParagraph"/>
        <w:numPr>
          <w:ilvl w:val="0"/>
          <w:numId w:val="32"/>
        </w:numPr>
      </w:pPr>
      <w:r w:rsidRPr="00687B34">
        <w:t xml:space="preserve">There are </w:t>
      </w:r>
      <w:r w:rsidR="00A56E45" w:rsidRPr="00452489">
        <w:t>1</w:t>
      </w:r>
      <w:r w:rsidR="00452489" w:rsidRPr="0026613B">
        <w:t>0</w:t>
      </w:r>
      <w:r w:rsidR="00A56E45" w:rsidRPr="00452489">
        <w:t>%</w:t>
      </w:r>
      <w:r w:rsidR="000873C9">
        <w:t xml:space="preserve"> </w:t>
      </w:r>
      <w:r w:rsidRPr="00402BBD">
        <w:t xml:space="preserve">of footpaths that do not currently meet the desired service level of a minimum width of 1.5m. </w:t>
      </w:r>
    </w:p>
    <w:p w14:paraId="2726276C" w14:textId="77777777" w:rsidR="0013130B" w:rsidRPr="00687B34" w:rsidRDefault="0013130B" w:rsidP="00B05FC6">
      <w:pPr>
        <w:pStyle w:val="BodyText"/>
        <w:spacing w:after="360"/>
        <w:jc w:val="right"/>
        <w:rPr>
          <w:rFonts w:cs="Arial"/>
          <w:szCs w:val="24"/>
        </w:rPr>
      </w:pPr>
      <w:r w:rsidRPr="00687B34">
        <w:rPr>
          <w:rFonts w:cs="Arial"/>
          <w:szCs w:val="24"/>
        </w:rPr>
        <w:t xml:space="preserve">See </w:t>
      </w:r>
      <w:r w:rsidRPr="00687B34">
        <w:rPr>
          <w:rFonts w:cs="Arial"/>
          <w:b/>
          <w:szCs w:val="24"/>
        </w:rPr>
        <w:t xml:space="preserve">(Section 3) </w:t>
      </w:r>
      <w:r w:rsidRPr="00687B34">
        <w:rPr>
          <w:rFonts w:cs="Arial"/>
          <w:szCs w:val="24"/>
        </w:rPr>
        <w:t>for further information</w:t>
      </w:r>
    </w:p>
    <w:p w14:paraId="7DC32CA7" w14:textId="77777777" w:rsidR="0013130B" w:rsidRPr="00687B34" w:rsidRDefault="0013130B" w:rsidP="0013130B">
      <w:pPr>
        <w:pStyle w:val="BodyText"/>
        <w:jc w:val="left"/>
        <w:rPr>
          <w:rFonts w:cs="Arial"/>
          <w:b/>
          <w:szCs w:val="24"/>
        </w:rPr>
      </w:pPr>
      <w:r w:rsidRPr="00687B34">
        <w:rPr>
          <w:rFonts w:cs="Arial"/>
          <w:b/>
          <w:szCs w:val="24"/>
        </w:rPr>
        <w:t xml:space="preserve">Future Growth and Demand Management </w:t>
      </w:r>
    </w:p>
    <w:p w14:paraId="4394FB61" w14:textId="77777777" w:rsidR="0013130B" w:rsidRPr="00687B34" w:rsidRDefault="0013130B" w:rsidP="00504B85">
      <w:r w:rsidRPr="00687B34">
        <w:t>Future growth projections are supported by the City’s Strategic Planning Service Population and demographic research</w:t>
      </w:r>
      <w:r w:rsidR="008231FE">
        <w:t xml:space="preserve">, </w:t>
      </w:r>
      <w:r w:rsidR="008231FE" w:rsidRPr="00687B34">
        <w:t>whilst</w:t>
      </w:r>
      <w:r w:rsidRPr="00687B34">
        <w:t xml:space="preserve"> Demand for new services will be administered through upgrading existing and providing new assets. </w:t>
      </w:r>
    </w:p>
    <w:p w14:paraId="08989793" w14:textId="36A0F4C6" w:rsidR="001076D0" w:rsidRDefault="0013130B" w:rsidP="00FC426C">
      <w:pPr>
        <w:pStyle w:val="ListParagraph"/>
        <w:numPr>
          <w:ilvl w:val="0"/>
          <w:numId w:val="33"/>
        </w:numPr>
      </w:pPr>
      <w:r w:rsidRPr="00687B34">
        <w:t xml:space="preserve">A cumulative growth of </w:t>
      </w:r>
      <w:r w:rsidR="00106C48">
        <w:t>approx</w:t>
      </w:r>
      <w:r w:rsidR="002B1429">
        <w:t>imately</w:t>
      </w:r>
      <w:r w:rsidR="00106C48">
        <w:t xml:space="preserve"> </w:t>
      </w:r>
      <w:r w:rsidR="004A7CFD">
        <w:t>18</w:t>
      </w:r>
      <w:r w:rsidR="00210611">
        <w:t>,</w:t>
      </w:r>
      <w:r w:rsidR="004A7CFD">
        <w:t>788</w:t>
      </w:r>
      <w:r w:rsidRPr="00687B34">
        <w:t xml:space="preserve"> </w:t>
      </w:r>
      <w:r w:rsidR="00106C48">
        <w:t>m</w:t>
      </w:r>
      <w:r w:rsidR="00106C48" w:rsidRPr="00504B85">
        <w:rPr>
          <w:vertAlign w:val="superscript"/>
        </w:rPr>
        <w:t>2</w:t>
      </w:r>
      <w:r w:rsidR="00106C48" w:rsidRPr="00687B34">
        <w:t xml:space="preserve"> </w:t>
      </w:r>
      <w:r w:rsidRPr="00687B34">
        <w:t xml:space="preserve">to the footpath network </w:t>
      </w:r>
      <w:r w:rsidR="00967939">
        <w:t xml:space="preserve">every year, </w:t>
      </w:r>
      <w:r w:rsidRPr="00687B34">
        <w:t xml:space="preserve">over the next 5 years. This represents an increase in replacement cost of </w:t>
      </w:r>
      <w:r w:rsidR="00967939" w:rsidRPr="00967939">
        <w:t>$1,</w:t>
      </w:r>
      <w:r w:rsidR="004A7CFD">
        <w:t>215</w:t>
      </w:r>
      <w:r w:rsidR="00967939" w:rsidRPr="00967939">
        <w:t>,</w:t>
      </w:r>
      <w:r w:rsidR="00894F72">
        <w:t>8</w:t>
      </w:r>
      <w:r w:rsidR="004A7CFD">
        <w:t>95</w:t>
      </w:r>
      <w:r w:rsidR="00967939">
        <w:t xml:space="preserve"> </w:t>
      </w:r>
      <w:r w:rsidRPr="00687B34">
        <w:t>per year</w:t>
      </w:r>
      <w:r w:rsidR="00967939">
        <w:t>.</w:t>
      </w:r>
    </w:p>
    <w:p w14:paraId="57DB2C64" w14:textId="77777777" w:rsidR="00FC426C" w:rsidRPr="00687B34" w:rsidRDefault="00FC426C" w:rsidP="00FC426C">
      <w:pPr>
        <w:pStyle w:val="ListParagraph"/>
      </w:pPr>
    </w:p>
    <w:p w14:paraId="60FB8F0F" w14:textId="77777777" w:rsidR="002F2D28" w:rsidRDefault="0013130B" w:rsidP="002F2D28">
      <w:pPr>
        <w:pStyle w:val="ListParagraph"/>
        <w:numPr>
          <w:ilvl w:val="0"/>
          <w:numId w:val="33"/>
        </w:numPr>
      </w:pPr>
      <w:r w:rsidRPr="00B25364">
        <w:t>Estimated project costs of $</w:t>
      </w:r>
      <w:r w:rsidR="003A5D69">
        <w:t>13</w:t>
      </w:r>
      <w:r w:rsidRPr="00B25364">
        <w:t xml:space="preserve"> million invested through the delivery of the ten year </w:t>
      </w:r>
      <w:r w:rsidR="009211E6" w:rsidRPr="00B25364">
        <w:t>new capital works program</w:t>
      </w:r>
      <w:r w:rsidR="00B25364" w:rsidRPr="00B25364">
        <w:t>.</w:t>
      </w:r>
    </w:p>
    <w:p w14:paraId="2DAC162E" w14:textId="77777777" w:rsidR="002F2D28" w:rsidRPr="002F2D28" w:rsidRDefault="002F2D28" w:rsidP="002F2D28">
      <w:pPr>
        <w:pStyle w:val="ListParagraph"/>
        <w:rPr>
          <w:rFonts w:cs="Arial"/>
          <w:szCs w:val="24"/>
        </w:rPr>
      </w:pPr>
    </w:p>
    <w:p w14:paraId="3DDBB37C" w14:textId="77777777" w:rsidR="0013130B" w:rsidRPr="002F2D28" w:rsidRDefault="002F2D28" w:rsidP="002F2D28">
      <w:pPr>
        <w:pStyle w:val="ListParagraph"/>
      </w:pPr>
      <w:r>
        <w:rPr>
          <w:rFonts w:cs="Arial"/>
          <w:szCs w:val="24"/>
        </w:rPr>
        <w:tab/>
      </w:r>
      <w:r>
        <w:rPr>
          <w:rFonts w:cs="Arial"/>
          <w:szCs w:val="24"/>
        </w:rPr>
        <w:tab/>
      </w:r>
      <w:r>
        <w:rPr>
          <w:rFonts w:cs="Arial"/>
          <w:szCs w:val="24"/>
        </w:rPr>
        <w:tab/>
      </w:r>
      <w:r>
        <w:rPr>
          <w:rFonts w:cs="Arial"/>
          <w:szCs w:val="24"/>
        </w:rPr>
        <w:tab/>
      </w:r>
      <w:r>
        <w:rPr>
          <w:rFonts w:cs="Arial"/>
          <w:szCs w:val="24"/>
        </w:rPr>
        <w:tab/>
      </w:r>
      <w:r w:rsidR="0013130B" w:rsidRPr="002F2D28">
        <w:rPr>
          <w:rFonts w:cs="Arial"/>
          <w:szCs w:val="24"/>
        </w:rPr>
        <w:t xml:space="preserve">See </w:t>
      </w:r>
      <w:r w:rsidRPr="002F2D28">
        <w:rPr>
          <w:rFonts w:cs="Arial"/>
          <w:b/>
          <w:szCs w:val="24"/>
        </w:rPr>
        <w:t>(Section 4</w:t>
      </w:r>
      <w:r w:rsidR="0013130B" w:rsidRPr="002F2D28">
        <w:rPr>
          <w:rFonts w:cs="Arial"/>
          <w:b/>
          <w:szCs w:val="24"/>
        </w:rPr>
        <w:t xml:space="preserve">) </w:t>
      </w:r>
      <w:r w:rsidR="0013130B" w:rsidRPr="002F2D28">
        <w:rPr>
          <w:rFonts w:cs="Arial"/>
          <w:szCs w:val="24"/>
        </w:rPr>
        <w:t>for further information</w:t>
      </w:r>
    </w:p>
    <w:p w14:paraId="30816E8B" w14:textId="77777777" w:rsidR="0013130B" w:rsidRDefault="0013130B" w:rsidP="0013130B">
      <w:pPr>
        <w:pStyle w:val="BodyText"/>
        <w:rPr>
          <w:rFonts w:cs="Arial"/>
          <w:b/>
          <w:szCs w:val="24"/>
        </w:rPr>
      </w:pPr>
      <w:r>
        <w:rPr>
          <w:rFonts w:cs="Arial"/>
          <w:b/>
          <w:szCs w:val="24"/>
        </w:rPr>
        <w:lastRenderedPageBreak/>
        <w:t xml:space="preserve">Lifecycle Management findings </w:t>
      </w:r>
    </w:p>
    <w:p w14:paraId="707AA3CF" w14:textId="77777777" w:rsidR="0013130B" w:rsidRPr="008872CD" w:rsidRDefault="0013130B" w:rsidP="00973DC7">
      <w:r w:rsidRPr="008872CD">
        <w:t xml:space="preserve">The lifecycle management section details how the City plans to manage and operate both current and future assets </w:t>
      </w:r>
      <w:r>
        <w:t>to</w:t>
      </w:r>
      <w:r w:rsidRPr="008872CD">
        <w:t xml:space="preserve"> the agreed levels of service whil</w:t>
      </w:r>
      <w:r>
        <w:t>st</w:t>
      </w:r>
      <w:r w:rsidRPr="008872CD">
        <w:t xml:space="preserve"> optimising life cycle costs.</w:t>
      </w:r>
    </w:p>
    <w:p w14:paraId="2BEB29D2" w14:textId="77777777" w:rsidR="0013130B" w:rsidRPr="002F2D28" w:rsidRDefault="0013130B" w:rsidP="00973DC7">
      <w:pPr>
        <w:pStyle w:val="ListParagraph"/>
        <w:numPr>
          <w:ilvl w:val="0"/>
          <w:numId w:val="34"/>
        </w:numPr>
        <w:rPr>
          <w:rFonts w:cs="Arial"/>
        </w:rPr>
      </w:pPr>
      <w:r>
        <w:t>Maintenance expenditure levels are considered to be adequate to meet current service levels</w:t>
      </w:r>
      <w:r w:rsidR="002F2D28">
        <w:t>.</w:t>
      </w:r>
    </w:p>
    <w:p w14:paraId="77B02D3C" w14:textId="77777777" w:rsidR="002F2D28" w:rsidRPr="00973DC7" w:rsidRDefault="002F2D28" w:rsidP="002F2D28">
      <w:pPr>
        <w:pStyle w:val="ListParagraph"/>
        <w:rPr>
          <w:rFonts w:cs="Arial"/>
        </w:rPr>
      </w:pPr>
    </w:p>
    <w:p w14:paraId="3CC44FBB" w14:textId="6BA724AC" w:rsidR="00143596" w:rsidRDefault="0013130B" w:rsidP="00973DC7">
      <w:pPr>
        <w:pStyle w:val="ListParagraph"/>
        <w:numPr>
          <w:ilvl w:val="0"/>
          <w:numId w:val="34"/>
        </w:numPr>
        <w:rPr>
          <w:rFonts w:cs="Arial"/>
        </w:rPr>
      </w:pPr>
      <w:r w:rsidRPr="00973DC7">
        <w:rPr>
          <w:rFonts w:cs="Arial"/>
        </w:rPr>
        <w:t xml:space="preserve">Planned maintenance work was </w:t>
      </w:r>
      <w:r w:rsidR="00217B5E" w:rsidRPr="00973DC7">
        <w:rPr>
          <w:rFonts w:cs="Arial"/>
        </w:rPr>
        <w:t>80</w:t>
      </w:r>
      <w:r w:rsidR="00280F69" w:rsidRPr="00973DC7">
        <w:rPr>
          <w:rFonts w:cs="Arial"/>
        </w:rPr>
        <w:t>%</w:t>
      </w:r>
      <w:r w:rsidRPr="00973DC7">
        <w:rPr>
          <w:rFonts w:cs="Arial"/>
        </w:rPr>
        <w:t xml:space="preserve"> of total maintenance expenditure for </w:t>
      </w:r>
      <w:r w:rsidR="00280F69" w:rsidRPr="00973DC7">
        <w:rPr>
          <w:rFonts w:cs="Arial"/>
        </w:rPr>
        <w:t>201</w:t>
      </w:r>
      <w:r w:rsidR="00FC426C">
        <w:rPr>
          <w:rFonts w:cs="Arial"/>
        </w:rPr>
        <w:t>9-</w:t>
      </w:r>
      <w:r w:rsidR="00BF6A55" w:rsidRPr="00973DC7">
        <w:rPr>
          <w:rFonts w:cs="Arial"/>
        </w:rPr>
        <w:t>20</w:t>
      </w:r>
      <w:r w:rsidRPr="00973DC7">
        <w:rPr>
          <w:rFonts w:cs="Arial"/>
        </w:rPr>
        <w:t>.</w:t>
      </w:r>
      <w:r w:rsidR="009102D4" w:rsidRPr="00973DC7">
        <w:rPr>
          <w:rFonts w:cs="Arial"/>
        </w:rPr>
        <w:t xml:space="preserve"> </w:t>
      </w:r>
    </w:p>
    <w:p w14:paraId="5233995E" w14:textId="77777777" w:rsidR="002F2D28" w:rsidRPr="00973DC7" w:rsidRDefault="002F2D28" w:rsidP="002F2D28">
      <w:pPr>
        <w:pStyle w:val="ListParagraph"/>
        <w:rPr>
          <w:rFonts w:cs="Arial"/>
        </w:rPr>
      </w:pPr>
    </w:p>
    <w:p w14:paraId="208F7C39" w14:textId="593D9508" w:rsidR="0013130B" w:rsidRPr="00973DC7" w:rsidRDefault="00143596" w:rsidP="00973DC7">
      <w:pPr>
        <w:pStyle w:val="ListParagraph"/>
        <w:numPr>
          <w:ilvl w:val="0"/>
          <w:numId w:val="34"/>
        </w:numPr>
        <w:rPr>
          <w:rFonts w:cs="Arial"/>
        </w:rPr>
      </w:pPr>
      <w:r w:rsidRPr="00973DC7">
        <w:rPr>
          <w:rFonts w:cs="Arial"/>
        </w:rPr>
        <w:t xml:space="preserve">By </w:t>
      </w:r>
      <w:r w:rsidR="00FC426C">
        <w:rPr>
          <w:rFonts w:cs="Arial"/>
        </w:rPr>
        <w:t>20</w:t>
      </w:r>
      <w:r w:rsidR="00280F69" w:rsidRPr="00973DC7">
        <w:rPr>
          <w:rFonts w:cs="Arial"/>
        </w:rPr>
        <w:t>2</w:t>
      </w:r>
      <w:r w:rsidR="00500E39" w:rsidRPr="00973DC7">
        <w:rPr>
          <w:rFonts w:cs="Arial"/>
        </w:rPr>
        <w:t>9</w:t>
      </w:r>
      <w:r w:rsidR="00FC426C">
        <w:rPr>
          <w:rFonts w:cs="Arial"/>
        </w:rPr>
        <w:t>-</w:t>
      </w:r>
      <w:r w:rsidR="00500E39" w:rsidRPr="00973DC7">
        <w:rPr>
          <w:rFonts w:cs="Arial"/>
        </w:rPr>
        <w:t>30</w:t>
      </w:r>
      <w:r w:rsidRPr="00973DC7">
        <w:rPr>
          <w:rFonts w:cs="Arial"/>
        </w:rPr>
        <w:t xml:space="preserve"> required expenditure for Operations and Maintenance is expected to be around </w:t>
      </w:r>
      <w:r w:rsidR="00345D5C" w:rsidRPr="00973DC7">
        <w:rPr>
          <w:rFonts w:cs="Arial"/>
        </w:rPr>
        <w:t xml:space="preserve">$1.5million </w:t>
      </w:r>
      <w:r w:rsidR="00402BBD" w:rsidRPr="00973DC7">
        <w:rPr>
          <w:rFonts w:cs="Arial"/>
        </w:rPr>
        <w:t>per year.</w:t>
      </w:r>
    </w:p>
    <w:p w14:paraId="3B9D5EB7" w14:textId="77777777" w:rsidR="00195A60" w:rsidRDefault="0013130B" w:rsidP="002F2D28">
      <w:pPr>
        <w:pStyle w:val="BodyText"/>
        <w:spacing w:after="360"/>
        <w:ind w:left="360"/>
        <w:jc w:val="right"/>
        <w:rPr>
          <w:rFonts w:cs="Arial"/>
          <w:szCs w:val="24"/>
        </w:rPr>
      </w:pPr>
      <w:r w:rsidRPr="008B48D7">
        <w:rPr>
          <w:rFonts w:cs="Arial"/>
          <w:sz w:val="4"/>
          <w:szCs w:val="4"/>
        </w:rPr>
        <w:br/>
      </w:r>
      <w:r w:rsidRPr="008B48D7">
        <w:rPr>
          <w:rFonts w:cs="Arial"/>
          <w:szCs w:val="24"/>
        </w:rPr>
        <w:t xml:space="preserve">See </w:t>
      </w:r>
      <w:r w:rsidRPr="008B48D7">
        <w:rPr>
          <w:rFonts w:cs="Arial"/>
          <w:b/>
          <w:szCs w:val="24"/>
        </w:rPr>
        <w:t xml:space="preserve">(Section </w:t>
      </w:r>
      <w:r>
        <w:rPr>
          <w:rFonts w:cs="Arial"/>
          <w:b/>
          <w:szCs w:val="24"/>
        </w:rPr>
        <w:t>5</w:t>
      </w:r>
      <w:r w:rsidRPr="008B48D7">
        <w:rPr>
          <w:rFonts w:cs="Arial"/>
          <w:b/>
          <w:szCs w:val="24"/>
        </w:rPr>
        <w:t xml:space="preserve">) </w:t>
      </w:r>
      <w:r w:rsidRPr="008B48D7">
        <w:rPr>
          <w:rFonts w:cs="Arial"/>
          <w:szCs w:val="24"/>
        </w:rPr>
        <w:t>for further information</w:t>
      </w:r>
    </w:p>
    <w:p w14:paraId="1F475B50" w14:textId="77777777" w:rsidR="0013130B" w:rsidRPr="008872CD" w:rsidRDefault="0013130B" w:rsidP="0013130B">
      <w:pPr>
        <w:pStyle w:val="BodyText"/>
        <w:rPr>
          <w:rFonts w:cs="Arial"/>
          <w:b/>
          <w:szCs w:val="24"/>
        </w:rPr>
      </w:pPr>
      <w:r w:rsidRPr="008872CD">
        <w:rPr>
          <w:rFonts w:cs="Arial"/>
          <w:b/>
          <w:szCs w:val="24"/>
        </w:rPr>
        <w:t xml:space="preserve">Financial Analysis </w:t>
      </w:r>
    </w:p>
    <w:p w14:paraId="0F86D4D2" w14:textId="77777777" w:rsidR="0013130B" w:rsidRDefault="0013130B" w:rsidP="0013130B">
      <w:pPr>
        <w:pStyle w:val="BodyText"/>
        <w:rPr>
          <w:rFonts w:cs="Arial"/>
          <w:b/>
          <w:szCs w:val="24"/>
        </w:rPr>
      </w:pPr>
      <w:r>
        <w:rPr>
          <w:rFonts w:cs="Arial"/>
          <w:b/>
          <w:szCs w:val="24"/>
        </w:rPr>
        <w:t xml:space="preserve">Footpath </w:t>
      </w:r>
      <w:r w:rsidR="00193D96">
        <w:rPr>
          <w:rFonts w:cs="Arial"/>
          <w:b/>
          <w:szCs w:val="24"/>
        </w:rPr>
        <w:t xml:space="preserve">Asset </w:t>
      </w:r>
      <w:r>
        <w:rPr>
          <w:rFonts w:cs="Arial"/>
          <w:b/>
          <w:szCs w:val="24"/>
        </w:rPr>
        <w:t xml:space="preserve">Renewal Forecasts </w:t>
      </w:r>
    </w:p>
    <w:p w14:paraId="429F3E14" w14:textId="77777777" w:rsidR="0013130B" w:rsidRPr="00DE57C5" w:rsidRDefault="0013130B" w:rsidP="00C944F3">
      <w:r w:rsidRPr="00927BFB">
        <w:t xml:space="preserve">The City has developed </w:t>
      </w:r>
      <w:r w:rsidRPr="00DE57C5">
        <w:t xml:space="preserve">a </w:t>
      </w:r>
      <w:r w:rsidR="004A5201" w:rsidRPr="00DE57C5">
        <w:t>10</w:t>
      </w:r>
      <w:r w:rsidRPr="00DE57C5">
        <w:t xml:space="preserve"> year footpath renewal plan which will drive the budget planning process and form the basis to the City’s long term financial planning</w:t>
      </w:r>
    </w:p>
    <w:p w14:paraId="721D4B2C" w14:textId="77777777" w:rsidR="0013130B" w:rsidRDefault="0013130B" w:rsidP="00C944F3">
      <w:pPr>
        <w:pStyle w:val="ListParagraph"/>
        <w:numPr>
          <w:ilvl w:val="0"/>
          <w:numId w:val="35"/>
        </w:numPr>
      </w:pPr>
      <w:r w:rsidRPr="00DE57C5">
        <w:t xml:space="preserve">The City’s footpath network is in excellent condition with </w:t>
      </w:r>
      <w:r w:rsidR="006F0C02">
        <w:t>73</w:t>
      </w:r>
      <w:r w:rsidR="00BB057B">
        <w:t>%</w:t>
      </w:r>
      <w:r w:rsidRPr="00DE57C5">
        <w:t xml:space="preserve"> currently rating as either a 1 or a 2.</w:t>
      </w:r>
    </w:p>
    <w:p w14:paraId="68D9C2E1" w14:textId="77777777" w:rsidR="007A360B" w:rsidRPr="00DE57C5" w:rsidRDefault="007A360B" w:rsidP="007A360B">
      <w:pPr>
        <w:pStyle w:val="ListParagraph"/>
      </w:pPr>
    </w:p>
    <w:p w14:paraId="05162129" w14:textId="77777777" w:rsidR="0013130B" w:rsidRDefault="0013130B" w:rsidP="00C944F3">
      <w:pPr>
        <w:pStyle w:val="ListParagraph"/>
        <w:numPr>
          <w:ilvl w:val="0"/>
          <w:numId w:val="35"/>
        </w:numPr>
      </w:pPr>
      <w:r w:rsidRPr="00DE57C5">
        <w:t xml:space="preserve">Currently only </w:t>
      </w:r>
      <w:r w:rsidR="007D2450">
        <w:t>6.8</w:t>
      </w:r>
      <w:r w:rsidR="00BB057B">
        <w:t>%</w:t>
      </w:r>
      <w:r w:rsidRPr="00DE57C5">
        <w:t xml:space="preserve"> of footpaths have reached the renewal intervention level of condition 4. These assets </w:t>
      </w:r>
      <w:r w:rsidR="00FC69E2">
        <w:t xml:space="preserve">and less than 1.5m width paths </w:t>
      </w:r>
      <w:r w:rsidRPr="00DE57C5">
        <w:t xml:space="preserve">currently form the basis of the </w:t>
      </w:r>
      <w:r w:rsidR="004A5201" w:rsidRPr="00DE57C5">
        <w:t>10</w:t>
      </w:r>
      <w:r w:rsidRPr="00DE57C5">
        <w:t xml:space="preserve"> year renewal program</w:t>
      </w:r>
      <w:r w:rsidR="007A360B">
        <w:t>.</w:t>
      </w:r>
    </w:p>
    <w:p w14:paraId="3D02D931" w14:textId="77777777" w:rsidR="007A360B" w:rsidRPr="00DE57C5" w:rsidRDefault="007A360B" w:rsidP="007A360B">
      <w:pPr>
        <w:pStyle w:val="ListParagraph"/>
      </w:pPr>
    </w:p>
    <w:p w14:paraId="31530897" w14:textId="77777777" w:rsidR="00AA3307" w:rsidRPr="00C944F3" w:rsidRDefault="0013130B" w:rsidP="00C944F3">
      <w:pPr>
        <w:pStyle w:val="ListParagraph"/>
        <w:numPr>
          <w:ilvl w:val="0"/>
          <w:numId w:val="35"/>
        </w:numPr>
        <w:rPr>
          <w:rFonts w:cs="Arial"/>
        </w:rPr>
      </w:pPr>
      <w:r w:rsidRPr="00C944F3">
        <w:rPr>
          <w:rFonts w:cs="Arial"/>
        </w:rPr>
        <w:t>The higher risk rated assets (condition 4</w:t>
      </w:r>
      <w:r w:rsidR="006F0C02" w:rsidRPr="00C944F3">
        <w:rPr>
          <w:rFonts w:cs="Arial"/>
        </w:rPr>
        <w:t xml:space="preserve"> </w:t>
      </w:r>
      <w:r w:rsidRPr="00C944F3">
        <w:rPr>
          <w:rFonts w:cs="Arial"/>
        </w:rPr>
        <w:t>&amp;</w:t>
      </w:r>
      <w:r w:rsidR="006F0C02" w:rsidRPr="00C944F3">
        <w:rPr>
          <w:rFonts w:cs="Arial"/>
        </w:rPr>
        <w:t xml:space="preserve"> </w:t>
      </w:r>
      <w:r w:rsidRPr="00C944F3">
        <w:rPr>
          <w:rFonts w:cs="Arial"/>
        </w:rPr>
        <w:t>5) w</w:t>
      </w:r>
      <w:r w:rsidR="00064325" w:rsidRPr="00C944F3">
        <w:rPr>
          <w:rFonts w:cs="Arial"/>
        </w:rPr>
        <w:t>ill be</w:t>
      </w:r>
      <w:r w:rsidRPr="00C944F3">
        <w:rPr>
          <w:rFonts w:cs="Arial"/>
        </w:rPr>
        <w:t xml:space="preserve"> internally reassessed late </w:t>
      </w:r>
      <w:r w:rsidR="00BB057B" w:rsidRPr="00C944F3">
        <w:rPr>
          <w:rFonts w:cs="Arial"/>
        </w:rPr>
        <w:t>20</w:t>
      </w:r>
      <w:r w:rsidR="00A874AE" w:rsidRPr="00C944F3">
        <w:rPr>
          <w:rFonts w:cs="Arial"/>
        </w:rPr>
        <w:t>20</w:t>
      </w:r>
      <w:r w:rsidRPr="00C944F3">
        <w:rPr>
          <w:rFonts w:cs="Arial"/>
        </w:rPr>
        <w:t xml:space="preserve"> and form the basis of the 5 year Renewal Program.</w:t>
      </w:r>
    </w:p>
    <w:p w14:paraId="597D4FE3" w14:textId="77777777" w:rsidR="00EA6639" w:rsidRDefault="00EA6639" w:rsidP="0013130B">
      <w:pPr>
        <w:pStyle w:val="BodyText"/>
        <w:spacing w:after="120"/>
        <w:ind w:left="720"/>
        <w:jc w:val="right"/>
        <w:rPr>
          <w:rFonts w:cs="Arial"/>
          <w:szCs w:val="24"/>
        </w:rPr>
      </w:pPr>
      <w:r w:rsidRPr="008B48D7">
        <w:rPr>
          <w:rFonts w:cs="Arial"/>
          <w:szCs w:val="24"/>
        </w:rPr>
        <w:t xml:space="preserve">See </w:t>
      </w:r>
      <w:r w:rsidRPr="008B48D7">
        <w:rPr>
          <w:rFonts w:cs="Arial"/>
          <w:b/>
          <w:szCs w:val="24"/>
        </w:rPr>
        <w:t xml:space="preserve">(Section </w:t>
      </w:r>
      <w:r w:rsidR="00B25364">
        <w:rPr>
          <w:rFonts w:cs="Arial"/>
          <w:b/>
          <w:szCs w:val="24"/>
        </w:rPr>
        <w:t>6</w:t>
      </w:r>
      <w:r w:rsidR="00121E21" w:rsidRPr="008B48D7">
        <w:rPr>
          <w:rFonts w:cs="Arial"/>
          <w:b/>
          <w:szCs w:val="24"/>
        </w:rPr>
        <w:t>)</w:t>
      </w:r>
      <w:r w:rsidRPr="008B48D7">
        <w:rPr>
          <w:rFonts w:cs="Arial"/>
          <w:b/>
          <w:szCs w:val="24"/>
        </w:rPr>
        <w:t xml:space="preserve"> </w:t>
      </w:r>
      <w:r w:rsidRPr="008B48D7">
        <w:rPr>
          <w:rFonts w:cs="Arial"/>
          <w:szCs w:val="24"/>
        </w:rPr>
        <w:t>for further information</w:t>
      </w:r>
      <w:r>
        <w:rPr>
          <w:rFonts w:cs="Arial"/>
          <w:szCs w:val="24"/>
        </w:rPr>
        <w:t xml:space="preserve"> </w:t>
      </w:r>
    </w:p>
    <w:p w14:paraId="376E98CC" w14:textId="77777777" w:rsidR="0013130B" w:rsidRDefault="0013130B" w:rsidP="0013130B">
      <w:pPr>
        <w:pStyle w:val="BodyText"/>
        <w:spacing w:after="120"/>
        <w:ind w:left="720"/>
        <w:jc w:val="right"/>
        <w:rPr>
          <w:szCs w:val="24"/>
        </w:rPr>
      </w:pPr>
    </w:p>
    <w:p w14:paraId="28E8A214" w14:textId="77777777" w:rsidR="001076D0" w:rsidRDefault="0013130B" w:rsidP="001076D0">
      <w:pPr>
        <w:rPr>
          <w:rFonts w:cs="Arial"/>
          <w:b/>
          <w:szCs w:val="24"/>
        </w:rPr>
      </w:pPr>
      <w:r w:rsidRPr="00927BFB">
        <w:rPr>
          <w:rFonts w:cs="Arial"/>
          <w:b/>
          <w:szCs w:val="24"/>
        </w:rPr>
        <w:t xml:space="preserve">Sustainability of Service Delivery </w:t>
      </w:r>
    </w:p>
    <w:p w14:paraId="7F9E962E" w14:textId="77777777" w:rsidR="0013130B" w:rsidRPr="001076D0" w:rsidRDefault="001076D0" w:rsidP="001076D0">
      <w:r>
        <w:t xml:space="preserve">The City will compile and report its Footpath infrastructure assets performance in relation to the </w:t>
      </w:r>
      <w:r w:rsidRPr="008872CD">
        <w:t xml:space="preserve">Dept. of Local Government’s Asset Management </w:t>
      </w:r>
      <w:r>
        <w:t>Guidelines and F</w:t>
      </w:r>
      <w:r w:rsidRPr="008872CD">
        <w:t>ramework</w:t>
      </w:r>
      <w:r>
        <w:t xml:space="preserve">. </w:t>
      </w:r>
    </w:p>
    <w:p w14:paraId="01F45668" w14:textId="77777777" w:rsidR="0013130B" w:rsidRDefault="0013130B" w:rsidP="00675A69">
      <w:r w:rsidRPr="00EA6639">
        <w:t xml:space="preserve">Based on actual expenditure in </w:t>
      </w:r>
      <w:r w:rsidR="007F0547">
        <w:t>201</w:t>
      </w:r>
      <w:r w:rsidR="00853806">
        <w:t>9</w:t>
      </w:r>
      <w:r w:rsidR="007F0547">
        <w:t>/</w:t>
      </w:r>
      <w:r w:rsidR="00853806">
        <w:t>20</w:t>
      </w:r>
      <w:r w:rsidRPr="00EA6639">
        <w:t xml:space="preserve">, the following table indicates the City’s performance in </w:t>
      </w:r>
      <w:r w:rsidR="00E277F0" w:rsidRPr="00EA6639">
        <w:t>managing footpath</w:t>
      </w:r>
      <w:r w:rsidR="00013B4F">
        <w:t xml:space="preserve"> </w:t>
      </w:r>
      <w:r w:rsidR="00DA641E">
        <w:t xml:space="preserve">infrastructure </w:t>
      </w:r>
      <w:r w:rsidRPr="00EA6639">
        <w:t>assets</w:t>
      </w:r>
      <w:r w:rsidR="00DA641E">
        <w:t xml:space="preserve"> as at October 2020</w:t>
      </w:r>
      <w:r w:rsidRPr="00EA6639">
        <w:t>.</w:t>
      </w:r>
      <w:r w:rsidR="00085AB7">
        <w:t xml:space="preserve"> </w:t>
      </w:r>
    </w:p>
    <w:p w14:paraId="15A37248" w14:textId="77777777" w:rsidR="00DA641E" w:rsidRPr="00140CAE" w:rsidRDefault="00DA641E" w:rsidP="00616E47">
      <w:pPr>
        <w:keepNext/>
        <w:rPr>
          <w:b/>
          <w:iCs/>
          <w:color w:val="0070C0"/>
          <w:szCs w:val="22"/>
        </w:rPr>
      </w:pPr>
      <w:r w:rsidRPr="00140CAE">
        <w:rPr>
          <w:b/>
          <w:iCs/>
          <w:color w:val="0070C0"/>
          <w:szCs w:val="22"/>
        </w:rPr>
        <w:lastRenderedPageBreak/>
        <w:t xml:space="preserve">Table 1.2 Footpath Infrastructure Asset </w:t>
      </w:r>
      <w:r w:rsidR="001F3841" w:rsidRPr="00140CAE">
        <w:rPr>
          <w:b/>
          <w:iCs/>
          <w:color w:val="0070C0"/>
          <w:szCs w:val="22"/>
        </w:rPr>
        <w:t>Ratio</w:t>
      </w:r>
      <w:r w:rsidRPr="00140CAE">
        <w:rPr>
          <w:b/>
          <w:iCs/>
          <w:color w:val="0070C0"/>
          <w:szCs w:val="22"/>
        </w:rPr>
        <w:t xml:space="preserve"> </w:t>
      </w:r>
      <w:r w:rsidR="001F3841" w:rsidRPr="00140CAE">
        <w:rPr>
          <w:b/>
          <w:iCs/>
          <w:color w:val="0070C0"/>
          <w:szCs w:val="22"/>
        </w:rPr>
        <w:t xml:space="preserve">Summary </w:t>
      </w:r>
      <w:r w:rsidRPr="00140CAE">
        <w:rPr>
          <w:b/>
          <w:iCs/>
          <w:color w:val="0070C0"/>
          <w:szCs w:val="22"/>
        </w:rPr>
        <w:t xml:space="preserve">Table </w:t>
      </w:r>
    </w:p>
    <w:tbl>
      <w:tblPr>
        <w:tblStyle w:val="TableGrid"/>
        <w:tblW w:w="9483" w:type="dxa"/>
        <w:tblLayout w:type="fixed"/>
        <w:tblLook w:val="04A0" w:firstRow="1" w:lastRow="0" w:firstColumn="1" w:lastColumn="0" w:noHBand="0" w:noVBand="1"/>
      </w:tblPr>
      <w:tblGrid>
        <w:gridCol w:w="2196"/>
        <w:gridCol w:w="2267"/>
        <w:gridCol w:w="2409"/>
        <w:gridCol w:w="1305"/>
        <w:gridCol w:w="1306"/>
      </w:tblGrid>
      <w:tr w:rsidR="008D031F" w:rsidRPr="00B25364" w14:paraId="02D9FD1C" w14:textId="77777777" w:rsidTr="00E12743">
        <w:trPr>
          <w:trHeight w:val="528"/>
        </w:trPr>
        <w:tc>
          <w:tcPr>
            <w:tcW w:w="2196" w:type="dxa"/>
            <w:vMerge w:val="restart"/>
            <w:tcBorders>
              <w:top w:val="single" w:sz="8" w:space="0" w:color="auto"/>
              <w:left w:val="single" w:sz="8" w:space="0" w:color="auto"/>
              <w:right w:val="single" w:sz="8" w:space="0" w:color="FFFFFF" w:themeColor="background1"/>
            </w:tcBorders>
            <w:shd w:val="clear" w:color="auto" w:fill="4BACC6" w:themeFill="accent5"/>
            <w:vAlign w:val="center"/>
            <w:hideMark/>
          </w:tcPr>
          <w:p w14:paraId="3A63E4DD"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r w:rsidRPr="00B25364">
              <w:rPr>
                <w:rFonts w:ascii="Arial Narrow" w:hAnsi="Arial Narrow" w:cs="Arial"/>
                <w:b/>
                <w:color w:val="FFFFFF" w:themeColor="background1"/>
                <w:szCs w:val="24"/>
              </w:rPr>
              <w:t>Asset</w:t>
            </w:r>
            <w:r>
              <w:rPr>
                <w:rFonts w:ascii="Arial Narrow" w:hAnsi="Arial Narrow" w:cs="Arial"/>
                <w:b/>
                <w:color w:val="FFFFFF" w:themeColor="background1"/>
                <w:szCs w:val="24"/>
              </w:rPr>
              <w:t xml:space="preserve"> Class</w:t>
            </w:r>
          </w:p>
        </w:tc>
        <w:tc>
          <w:tcPr>
            <w:tcW w:w="2267" w:type="dxa"/>
            <w:vMerge w:val="restart"/>
            <w:tcBorders>
              <w:top w:val="single" w:sz="8" w:space="0" w:color="auto"/>
              <w:left w:val="single" w:sz="8" w:space="0" w:color="FFFFFF" w:themeColor="background1"/>
              <w:right w:val="single" w:sz="8" w:space="0" w:color="FFFFFF" w:themeColor="background1"/>
            </w:tcBorders>
            <w:shd w:val="clear" w:color="auto" w:fill="4BACC6" w:themeFill="accent5"/>
            <w:vAlign w:val="center"/>
            <w:hideMark/>
          </w:tcPr>
          <w:p w14:paraId="254FBF50"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r w:rsidRPr="00B25364">
              <w:rPr>
                <w:rFonts w:ascii="Arial Narrow" w:hAnsi="Arial Narrow" w:cs="Arial"/>
                <w:b/>
                <w:color w:val="FFFFFF" w:themeColor="background1"/>
                <w:szCs w:val="24"/>
              </w:rPr>
              <w:t>Consumption Ratio</w:t>
            </w:r>
          </w:p>
          <w:p w14:paraId="7F6B2F68" w14:textId="4361752F" w:rsidR="008D031F" w:rsidRPr="00B25364" w:rsidRDefault="008D031F">
            <w:pPr>
              <w:pStyle w:val="ListParagraph"/>
              <w:spacing w:before="60" w:after="60"/>
              <w:ind w:left="0"/>
              <w:jc w:val="center"/>
              <w:rPr>
                <w:rFonts w:ascii="Arial Narrow" w:hAnsi="Arial Narrow" w:cs="Arial"/>
                <w:b/>
                <w:color w:val="FFFFFF" w:themeColor="background1"/>
                <w:szCs w:val="24"/>
              </w:rPr>
            </w:pPr>
            <w:r>
              <w:rPr>
                <w:rFonts w:ascii="Arial Narrow" w:hAnsi="Arial Narrow" w:cs="Arial"/>
                <w:b/>
                <w:color w:val="FFFFFF" w:themeColor="background1"/>
                <w:szCs w:val="24"/>
              </w:rPr>
              <w:t>2019</w:t>
            </w:r>
            <w:r w:rsidR="00FC426C">
              <w:rPr>
                <w:rFonts w:ascii="Arial Narrow" w:hAnsi="Arial Narrow" w:cs="Arial"/>
                <w:b/>
                <w:color w:val="FFFFFF" w:themeColor="background1"/>
                <w:szCs w:val="24"/>
              </w:rPr>
              <w:t>0-</w:t>
            </w:r>
            <w:r>
              <w:rPr>
                <w:rFonts w:ascii="Arial Narrow" w:hAnsi="Arial Narrow" w:cs="Arial"/>
                <w:b/>
                <w:color w:val="FFFFFF" w:themeColor="background1"/>
                <w:szCs w:val="24"/>
              </w:rPr>
              <w:t>20</w:t>
            </w:r>
          </w:p>
        </w:tc>
        <w:tc>
          <w:tcPr>
            <w:tcW w:w="2409" w:type="dxa"/>
            <w:vMerge w:val="restart"/>
            <w:tcBorders>
              <w:top w:val="single" w:sz="8" w:space="0" w:color="auto"/>
              <w:left w:val="single" w:sz="8" w:space="0" w:color="FFFFFF" w:themeColor="background1"/>
              <w:right w:val="single" w:sz="8" w:space="0" w:color="FFFFFF" w:themeColor="background1"/>
            </w:tcBorders>
            <w:shd w:val="clear" w:color="auto" w:fill="4BACC6" w:themeFill="accent5"/>
            <w:vAlign w:val="center"/>
            <w:hideMark/>
          </w:tcPr>
          <w:p w14:paraId="4E06B6B2"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r w:rsidRPr="00B25364">
              <w:rPr>
                <w:rFonts w:ascii="Arial Narrow" w:hAnsi="Arial Narrow" w:cs="Arial"/>
                <w:b/>
                <w:color w:val="FFFFFF" w:themeColor="background1"/>
                <w:szCs w:val="24"/>
              </w:rPr>
              <w:t>Sustainability Ratio</w:t>
            </w:r>
          </w:p>
          <w:p w14:paraId="729BA5B3" w14:textId="0CD95B80" w:rsidR="008D031F" w:rsidRPr="00B25364" w:rsidRDefault="008D031F" w:rsidP="003370F1">
            <w:pPr>
              <w:pStyle w:val="ListParagraph"/>
              <w:spacing w:before="60" w:after="60"/>
              <w:ind w:left="0"/>
              <w:jc w:val="center"/>
              <w:rPr>
                <w:rFonts w:ascii="Arial Narrow" w:hAnsi="Arial Narrow" w:cs="Arial"/>
                <w:b/>
                <w:color w:val="FFFFFF" w:themeColor="background1"/>
                <w:szCs w:val="24"/>
              </w:rPr>
            </w:pPr>
            <w:r>
              <w:rPr>
                <w:rFonts w:ascii="Arial Narrow" w:hAnsi="Arial Narrow" w:cs="Arial"/>
                <w:b/>
                <w:color w:val="FFFFFF" w:themeColor="background1"/>
                <w:szCs w:val="24"/>
              </w:rPr>
              <w:t>201920</w:t>
            </w:r>
          </w:p>
        </w:tc>
        <w:tc>
          <w:tcPr>
            <w:tcW w:w="2611" w:type="dxa"/>
            <w:gridSpan w:val="2"/>
            <w:tcBorders>
              <w:top w:val="single" w:sz="8" w:space="0" w:color="auto"/>
              <w:left w:val="single" w:sz="8" w:space="0" w:color="FFFFFF" w:themeColor="background1"/>
              <w:bottom w:val="single" w:sz="24" w:space="0" w:color="FFFFFF" w:themeColor="background1"/>
              <w:right w:val="single" w:sz="8" w:space="0" w:color="auto"/>
            </w:tcBorders>
            <w:shd w:val="clear" w:color="auto" w:fill="4BACC6" w:themeFill="accent5"/>
            <w:vAlign w:val="center"/>
            <w:hideMark/>
          </w:tcPr>
          <w:p w14:paraId="5830B877" w14:textId="77777777" w:rsidR="00012493" w:rsidRDefault="00012493" w:rsidP="00EA6639">
            <w:pPr>
              <w:pStyle w:val="ListParagraph"/>
              <w:spacing w:before="60" w:after="60"/>
              <w:ind w:left="0"/>
              <w:jc w:val="center"/>
              <w:rPr>
                <w:rFonts w:ascii="Arial Narrow" w:hAnsi="Arial Narrow" w:cs="Arial"/>
                <w:b/>
                <w:color w:val="FFFFFF" w:themeColor="background1"/>
                <w:szCs w:val="24"/>
              </w:rPr>
            </w:pPr>
          </w:p>
          <w:p w14:paraId="6021918F" w14:textId="77777777" w:rsidR="008D031F" w:rsidRPr="00B25364" w:rsidRDefault="008D031F" w:rsidP="00270A51">
            <w:pPr>
              <w:pStyle w:val="ListParagraph"/>
              <w:spacing w:before="60" w:after="60"/>
              <w:ind w:left="0"/>
              <w:jc w:val="center"/>
              <w:rPr>
                <w:rFonts w:ascii="Arial Narrow" w:hAnsi="Arial Narrow" w:cs="Arial"/>
                <w:b/>
                <w:color w:val="FFFFFF" w:themeColor="background1"/>
                <w:szCs w:val="24"/>
              </w:rPr>
            </w:pPr>
            <w:r w:rsidRPr="00B25364">
              <w:rPr>
                <w:rFonts w:ascii="Arial Narrow" w:hAnsi="Arial Narrow" w:cs="Arial"/>
                <w:b/>
                <w:color w:val="FFFFFF" w:themeColor="background1"/>
                <w:szCs w:val="24"/>
              </w:rPr>
              <w:t>Renewal Funding Ratio</w:t>
            </w:r>
          </w:p>
        </w:tc>
      </w:tr>
      <w:tr w:rsidR="008D031F" w:rsidRPr="00B25364" w14:paraId="04C1DFA6" w14:textId="77777777" w:rsidTr="00E12743">
        <w:trPr>
          <w:trHeight w:val="159"/>
        </w:trPr>
        <w:tc>
          <w:tcPr>
            <w:tcW w:w="2196" w:type="dxa"/>
            <w:vMerge/>
            <w:tcBorders>
              <w:left w:val="single" w:sz="8" w:space="0" w:color="auto"/>
              <w:bottom w:val="thinThickSmallGap" w:sz="24" w:space="0" w:color="auto"/>
              <w:right w:val="single" w:sz="8" w:space="0" w:color="FFFFFF" w:themeColor="background1"/>
            </w:tcBorders>
            <w:shd w:val="clear" w:color="auto" w:fill="4BACC6" w:themeFill="accent5"/>
            <w:vAlign w:val="center"/>
          </w:tcPr>
          <w:p w14:paraId="7FCFCCB2"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p>
        </w:tc>
        <w:tc>
          <w:tcPr>
            <w:tcW w:w="2267" w:type="dxa"/>
            <w:vMerge/>
            <w:tcBorders>
              <w:left w:val="single" w:sz="8" w:space="0" w:color="FFFFFF" w:themeColor="background1"/>
              <w:bottom w:val="thinThickSmallGap" w:sz="24" w:space="0" w:color="auto"/>
              <w:right w:val="single" w:sz="8" w:space="0" w:color="FFFFFF" w:themeColor="background1"/>
            </w:tcBorders>
            <w:shd w:val="clear" w:color="auto" w:fill="4BACC6" w:themeFill="accent5"/>
            <w:vAlign w:val="center"/>
          </w:tcPr>
          <w:p w14:paraId="61ECCB57"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p>
        </w:tc>
        <w:tc>
          <w:tcPr>
            <w:tcW w:w="2409" w:type="dxa"/>
            <w:vMerge/>
            <w:tcBorders>
              <w:left w:val="single" w:sz="8" w:space="0" w:color="FFFFFF" w:themeColor="background1"/>
              <w:bottom w:val="thinThickSmallGap" w:sz="24" w:space="0" w:color="auto"/>
              <w:right w:val="single" w:sz="8" w:space="0" w:color="FFFFFF" w:themeColor="background1"/>
            </w:tcBorders>
            <w:shd w:val="clear" w:color="auto" w:fill="4BACC6" w:themeFill="accent5"/>
            <w:vAlign w:val="center"/>
          </w:tcPr>
          <w:p w14:paraId="5441B121"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p>
        </w:tc>
        <w:tc>
          <w:tcPr>
            <w:tcW w:w="1305" w:type="dxa"/>
            <w:tcBorders>
              <w:top w:val="single" w:sz="24" w:space="0" w:color="FFFFFF" w:themeColor="background1"/>
              <w:left w:val="single" w:sz="8" w:space="0" w:color="FFFFFF" w:themeColor="background1"/>
              <w:bottom w:val="thinThickSmallGap" w:sz="24" w:space="0" w:color="auto"/>
              <w:right w:val="single" w:sz="24" w:space="0" w:color="FFFFFF" w:themeColor="background1"/>
            </w:tcBorders>
            <w:shd w:val="clear" w:color="auto" w:fill="4BACC6" w:themeFill="accent5"/>
            <w:vAlign w:val="center"/>
          </w:tcPr>
          <w:p w14:paraId="773527BC"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r>
              <w:rPr>
                <w:rFonts w:ascii="Arial Narrow" w:hAnsi="Arial Narrow" w:cs="Arial"/>
                <w:b/>
                <w:color w:val="FFFFFF" w:themeColor="background1"/>
                <w:szCs w:val="24"/>
              </w:rPr>
              <w:t>10 year</w:t>
            </w:r>
          </w:p>
        </w:tc>
        <w:tc>
          <w:tcPr>
            <w:tcW w:w="1306" w:type="dxa"/>
            <w:tcBorders>
              <w:top w:val="single" w:sz="24" w:space="0" w:color="FFFFFF" w:themeColor="background1"/>
              <w:left w:val="single" w:sz="8" w:space="0" w:color="FFFFFF" w:themeColor="background1"/>
              <w:bottom w:val="thinThickSmallGap" w:sz="24" w:space="0" w:color="auto"/>
              <w:right w:val="single" w:sz="8" w:space="0" w:color="auto"/>
            </w:tcBorders>
            <w:shd w:val="clear" w:color="auto" w:fill="4BACC6" w:themeFill="accent5"/>
            <w:vAlign w:val="center"/>
          </w:tcPr>
          <w:p w14:paraId="4D4254F3" w14:textId="77777777" w:rsidR="008D031F" w:rsidRPr="00B25364" w:rsidRDefault="008D031F" w:rsidP="00EA6639">
            <w:pPr>
              <w:pStyle w:val="ListParagraph"/>
              <w:spacing w:before="60" w:after="60"/>
              <w:ind w:left="0"/>
              <w:jc w:val="center"/>
              <w:rPr>
                <w:rFonts w:ascii="Arial Narrow" w:hAnsi="Arial Narrow" w:cs="Arial"/>
                <w:b/>
                <w:color w:val="FFFFFF" w:themeColor="background1"/>
                <w:szCs w:val="24"/>
              </w:rPr>
            </w:pPr>
            <w:r>
              <w:rPr>
                <w:rFonts w:ascii="Arial Narrow" w:hAnsi="Arial Narrow" w:cs="Arial"/>
                <w:b/>
                <w:color w:val="FFFFFF" w:themeColor="background1"/>
                <w:szCs w:val="24"/>
              </w:rPr>
              <w:t>5 year</w:t>
            </w:r>
          </w:p>
        </w:tc>
      </w:tr>
      <w:tr w:rsidR="00B71478" w:rsidRPr="00B25364" w14:paraId="6C61A3AC" w14:textId="77777777" w:rsidTr="00E12743">
        <w:trPr>
          <w:trHeight w:val="454"/>
        </w:trPr>
        <w:tc>
          <w:tcPr>
            <w:tcW w:w="2196" w:type="dxa"/>
            <w:tcBorders>
              <w:top w:val="thinThickSmallGap" w:sz="24" w:space="0" w:color="auto"/>
              <w:left w:val="single" w:sz="8" w:space="0" w:color="auto"/>
              <w:bottom w:val="single" w:sz="8" w:space="0" w:color="FFFFFF" w:themeColor="background1"/>
              <w:right w:val="thinThickSmallGap" w:sz="24" w:space="0" w:color="auto"/>
            </w:tcBorders>
            <w:shd w:val="clear" w:color="auto" w:fill="B6DDE8" w:themeFill="accent5" w:themeFillTint="66"/>
            <w:vAlign w:val="center"/>
            <w:hideMark/>
          </w:tcPr>
          <w:p w14:paraId="1CAD8FF7" w14:textId="77777777" w:rsidR="00B71478" w:rsidRPr="00B25364" w:rsidRDefault="00B71478" w:rsidP="00EA6639">
            <w:pPr>
              <w:pStyle w:val="ListParagraph"/>
              <w:spacing w:before="60" w:after="60"/>
              <w:ind w:left="0"/>
              <w:jc w:val="left"/>
              <w:rPr>
                <w:rFonts w:ascii="Arial Narrow" w:hAnsi="Arial Narrow" w:cs="Arial"/>
                <w:szCs w:val="24"/>
              </w:rPr>
            </w:pPr>
            <w:r w:rsidRPr="00B25364">
              <w:rPr>
                <w:rFonts w:ascii="Arial Narrow" w:hAnsi="Arial Narrow" w:cs="Arial"/>
                <w:szCs w:val="24"/>
              </w:rPr>
              <w:t>Footpaths</w:t>
            </w:r>
          </w:p>
        </w:tc>
        <w:tc>
          <w:tcPr>
            <w:tcW w:w="2267" w:type="dxa"/>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auto" w:fill="B6DDE8" w:themeFill="accent5" w:themeFillTint="66"/>
            <w:vAlign w:val="center"/>
          </w:tcPr>
          <w:p w14:paraId="4978B419" w14:textId="77777777" w:rsidR="00B71478" w:rsidRPr="00B25364" w:rsidRDefault="00B71478" w:rsidP="00270A51">
            <w:pPr>
              <w:pStyle w:val="ListParagraph"/>
              <w:spacing w:before="60" w:after="60"/>
              <w:ind w:left="0"/>
              <w:jc w:val="center"/>
              <w:rPr>
                <w:rFonts w:ascii="Arial Narrow" w:hAnsi="Arial Narrow" w:cs="Arial"/>
                <w:szCs w:val="24"/>
              </w:rPr>
            </w:pPr>
            <w:r>
              <w:rPr>
                <w:rFonts w:ascii="Arial Narrow" w:hAnsi="Arial Narrow" w:cs="Arial"/>
                <w:szCs w:val="24"/>
              </w:rPr>
              <w:t>70%</w:t>
            </w:r>
          </w:p>
        </w:tc>
        <w:tc>
          <w:tcPr>
            <w:tcW w:w="2409"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vAlign w:val="center"/>
          </w:tcPr>
          <w:p w14:paraId="36A1F3DB" w14:textId="77777777" w:rsidR="00B71478" w:rsidRPr="00B25364" w:rsidRDefault="00B71478" w:rsidP="00270A51">
            <w:pPr>
              <w:pStyle w:val="ListParagraph"/>
              <w:spacing w:before="60" w:after="60"/>
              <w:ind w:left="0"/>
              <w:jc w:val="center"/>
              <w:rPr>
                <w:rFonts w:ascii="Arial Narrow" w:hAnsi="Arial Narrow" w:cs="Arial"/>
                <w:szCs w:val="24"/>
              </w:rPr>
            </w:pPr>
            <w:r>
              <w:rPr>
                <w:rFonts w:ascii="Arial Narrow" w:hAnsi="Arial Narrow" w:cs="Arial"/>
                <w:szCs w:val="24"/>
              </w:rPr>
              <w:t>24%</w:t>
            </w:r>
          </w:p>
        </w:tc>
        <w:tc>
          <w:tcPr>
            <w:tcW w:w="1305"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vAlign w:val="center"/>
          </w:tcPr>
          <w:p w14:paraId="7E14EB0D" w14:textId="77777777" w:rsidR="00B71478" w:rsidRPr="00B25364" w:rsidRDefault="00AA7851" w:rsidP="00AA7851">
            <w:pPr>
              <w:pStyle w:val="ListParagraph"/>
              <w:spacing w:before="60" w:after="60"/>
              <w:ind w:left="0"/>
              <w:jc w:val="center"/>
              <w:rPr>
                <w:rFonts w:ascii="Arial Narrow" w:hAnsi="Arial Narrow" w:cs="Arial"/>
                <w:szCs w:val="24"/>
              </w:rPr>
            </w:pPr>
            <w:r>
              <w:rPr>
                <w:rFonts w:ascii="Arial Narrow" w:hAnsi="Arial Narrow" w:cs="Arial"/>
                <w:szCs w:val="24"/>
              </w:rPr>
              <w:t>98</w:t>
            </w:r>
            <w:r w:rsidR="00B71478">
              <w:rPr>
                <w:rFonts w:ascii="Arial Narrow" w:hAnsi="Arial Narrow" w:cs="Arial"/>
                <w:szCs w:val="24"/>
              </w:rPr>
              <w:t>%</w:t>
            </w:r>
          </w:p>
        </w:tc>
        <w:tc>
          <w:tcPr>
            <w:tcW w:w="1306" w:type="dxa"/>
            <w:tcBorders>
              <w:top w:val="thinThickSmallGap" w:sz="24" w:space="0" w:color="auto"/>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038A5168" w14:textId="77777777" w:rsidR="00B71478" w:rsidRPr="00B25364" w:rsidRDefault="00B71478" w:rsidP="00270A51">
            <w:pPr>
              <w:pStyle w:val="ListParagraph"/>
              <w:spacing w:before="60" w:after="60"/>
              <w:ind w:left="0"/>
              <w:jc w:val="center"/>
              <w:rPr>
                <w:rFonts w:ascii="Arial Narrow" w:hAnsi="Arial Narrow" w:cs="Arial"/>
                <w:szCs w:val="24"/>
              </w:rPr>
            </w:pPr>
            <w:r>
              <w:rPr>
                <w:rFonts w:ascii="Arial Narrow" w:hAnsi="Arial Narrow" w:cs="Arial"/>
                <w:szCs w:val="24"/>
              </w:rPr>
              <w:t>97%</w:t>
            </w:r>
          </w:p>
        </w:tc>
      </w:tr>
      <w:tr w:rsidR="00B71478" w:rsidRPr="00B25364" w14:paraId="45A3C5A0" w14:textId="77777777" w:rsidTr="00E12743">
        <w:trPr>
          <w:trHeight w:val="454"/>
        </w:trPr>
        <w:tc>
          <w:tcPr>
            <w:tcW w:w="2196" w:type="dxa"/>
            <w:tcBorders>
              <w:top w:val="single" w:sz="8" w:space="0" w:color="FFFFFF" w:themeColor="background1"/>
              <w:left w:val="single" w:sz="8" w:space="0" w:color="auto"/>
              <w:bottom w:val="single" w:sz="8" w:space="0" w:color="auto"/>
              <w:right w:val="thinThickSmallGap" w:sz="24" w:space="0" w:color="auto"/>
            </w:tcBorders>
            <w:shd w:val="clear" w:color="auto" w:fill="DAEEF3" w:themeFill="accent5" w:themeFillTint="33"/>
            <w:vAlign w:val="center"/>
            <w:hideMark/>
          </w:tcPr>
          <w:p w14:paraId="78D0F3B8" w14:textId="77777777" w:rsidR="00B71478" w:rsidRPr="00B25364" w:rsidRDefault="00B71478" w:rsidP="00EA6639">
            <w:pPr>
              <w:pStyle w:val="ListParagraph"/>
              <w:spacing w:before="60" w:after="60"/>
              <w:ind w:left="0"/>
              <w:jc w:val="left"/>
              <w:rPr>
                <w:rFonts w:ascii="Arial Narrow" w:hAnsi="Arial Narrow" w:cs="Arial"/>
                <w:szCs w:val="24"/>
              </w:rPr>
            </w:pPr>
            <w:r w:rsidRPr="00B25364">
              <w:rPr>
                <w:rFonts w:ascii="Arial Narrow" w:hAnsi="Arial Narrow" w:cs="Arial"/>
                <w:szCs w:val="24"/>
              </w:rPr>
              <w:t>Dept. of LG Framework Standards</w:t>
            </w:r>
          </w:p>
        </w:tc>
        <w:tc>
          <w:tcPr>
            <w:tcW w:w="2267" w:type="dxa"/>
            <w:tcBorders>
              <w:top w:val="single" w:sz="8" w:space="0" w:color="FFFFFF" w:themeColor="background1"/>
              <w:left w:val="thinThickSmallGap" w:sz="24" w:space="0" w:color="auto"/>
              <w:bottom w:val="single" w:sz="8" w:space="0" w:color="auto"/>
              <w:right w:val="single" w:sz="8" w:space="0" w:color="FFFFFF" w:themeColor="background1"/>
            </w:tcBorders>
            <w:shd w:val="clear" w:color="auto" w:fill="FFFFFF" w:themeFill="background1"/>
            <w:vAlign w:val="center"/>
          </w:tcPr>
          <w:p w14:paraId="0322CBF7" w14:textId="77777777" w:rsidR="00B71478" w:rsidRPr="00B25364" w:rsidRDefault="00B71478" w:rsidP="00EA6639">
            <w:pPr>
              <w:pStyle w:val="ListParagraph"/>
              <w:spacing w:before="60" w:after="60"/>
              <w:ind w:left="0"/>
              <w:jc w:val="center"/>
              <w:rPr>
                <w:rFonts w:ascii="Arial Narrow" w:hAnsi="Arial Narrow" w:cs="Arial"/>
                <w:szCs w:val="24"/>
              </w:rPr>
            </w:pPr>
            <w:r>
              <w:rPr>
                <w:rFonts w:ascii="Arial Narrow" w:hAnsi="Arial Narrow" w:cs="Arial"/>
                <w:szCs w:val="24"/>
              </w:rPr>
              <w:t>Met</w:t>
            </w:r>
          </w:p>
        </w:tc>
        <w:tc>
          <w:tcPr>
            <w:tcW w:w="2409"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FFFFFF" w:themeFill="background1"/>
            <w:vAlign w:val="center"/>
          </w:tcPr>
          <w:p w14:paraId="68F7686B" w14:textId="77777777" w:rsidR="00B71478" w:rsidRPr="00B25364" w:rsidRDefault="00B71478" w:rsidP="00EA6639">
            <w:pPr>
              <w:pStyle w:val="ListParagraph"/>
              <w:spacing w:before="60" w:after="60"/>
              <w:ind w:left="0"/>
              <w:jc w:val="center"/>
              <w:rPr>
                <w:rFonts w:ascii="Arial Narrow" w:hAnsi="Arial Narrow" w:cs="Arial"/>
                <w:szCs w:val="24"/>
              </w:rPr>
            </w:pPr>
            <w:r>
              <w:rPr>
                <w:rFonts w:ascii="Arial Narrow" w:hAnsi="Arial Narrow" w:cs="Arial"/>
                <w:szCs w:val="24"/>
              </w:rPr>
              <w:t>Not met</w:t>
            </w:r>
          </w:p>
        </w:tc>
        <w:tc>
          <w:tcPr>
            <w:tcW w:w="130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FFFFFF" w:themeFill="background1"/>
            <w:vAlign w:val="center"/>
          </w:tcPr>
          <w:p w14:paraId="766DB8B9" w14:textId="77777777" w:rsidR="00B71478" w:rsidRPr="00B25364" w:rsidRDefault="00B71478" w:rsidP="00EA6639">
            <w:pPr>
              <w:pStyle w:val="ListParagraph"/>
              <w:spacing w:before="60" w:after="60"/>
              <w:ind w:left="0"/>
              <w:jc w:val="center"/>
              <w:rPr>
                <w:rFonts w:ascii="Arial Narrow" w:hAnsi="Arial Narrow" w:cs="Arial"/>
                <w:szCs w:val="24"/>
              </w:rPr>
            </w:pPr>
            <w:r>
              <w:rPr>
                <w:rFonts w:ascii="Arial Narrow" w:hAnsi="Arial Narrow" w:cs="Arial"/>
                <w:szCs w:val="24"/>
              </w:rPr>
              <w:t>Met</w:t>
            </w:r>
          </w:p>
        </w:tc>
        <w:tc>
          <w:tcPr>
            <w:tcW w:w="1306" w:type="dxa"/>
            <w:tcBorders>
              <w:top w:val="single" w:sz="8" w:space="0" w:color="FFFFFF" w:themeColor="background1"/>
              <w:left w:val="single" w:sz="8" w:space="0" w:color="FFFFFF" w:themeColor="background1"/>
              <w:bottom w:val="single" w:sz="8" w:space="0" w:color="auto"/>
              <w:right w:val="single" w:sz="8" w:space="0" w:color="auto"/>
            </w:tcBorders>
            <w:shd w:val="clear" w:color="auto" w:fill="FFFFFF" w:themeFill="background1"/>
            <w:vAlign w:val="center"/>
          </w:tcPr>
          <w:p w14:paraId="6A54789B" w14:textId="77777777" w:rsidR="00B71478" w:rsidRPr="00B25364" w:rsidRDefault="00B71478" w:rsidP="00EA6639">
            <w:pPr>
              <w:pStyle w:val="ListParagraph"/>
              <w:spacing w:before="60" w:after="60"/>
              <w:ind w:left="0"/>
              <w:jc w:val="center"/>
              <w:rPr>
                <w:rFonts w:ascii="Arial Narrow" w:hAnsi="Arial Narrow" w:cs="Arial"/>
                <w:szCs w:val="24"/>
              </w:rPr>
            </w:pPr>
            <w:r>
              <w:rPr>
                <w:rFonts w:ascii="Arial Narrow" w:hAnsi="Arial Narrow" w:cs="Arial"/>
                <w:szCs w:val="24"/>
              </w:rPr>
              <w:t>Met</w:t>
            </w:r>
          </w:p>
        </w:tc>
      </w:tr>
    </w:tbl>
    <w:p w14:paraId="36E15382" w14:textId="77777777" w:rsidR="007B6B02" w:rsidRDefault="007B6B02" w:rsidP="005D049E">
      <w:pPr>
        <w:pStyle w:val="BodyText"/>
        <w:rPr>
          <w:rFonts w:cs="Arial"/>
          <w:szCs w:val="24"/>
        </w:rPr>
      </w:pPr>
    </w:p>
    <w:p w14:paraId="7D4D6788" w14:textId="7DD71AA2" w:rsidR="005D049E" w:rsidRDefault="005D049E" w:rsidP="008231FE">
      <w:r w:rsidRPr="00270A51">
        <w:t xml:space="preserve">Sustainability ratios for </w:t>
      </w:r>
      <w:r>
        <w:t>Footpath</w:t>
      </w:r>
      <w:r w:rsidRPr="00270A51">
        <w:t xml:space="preserve"> infrastructure have been forecast for the next 10 years to reflect the improvements the City will make following the completion of the LTFP. The sustainability ratio for the </w:t>
      </w:r>
      <w:r w:rsidR="00FC426C">
        <w:t>20</w:t>
      </w:r>
      <w:r w:rsidRPr="00270A51">
        <w:t>29</w:t>
      </w:r>
      <w:r w:rsidR="00FC426C">
        <w:t>-3</w:t>
      </w:r>
      <w:r w:rsidRPr="00270A51">
        <w:t xml:space="preserve">0 period is predicted to be </w:t>
      </w:r>
      <w:r w:rsidR="00EC34A6">
        <w:t>49</w:t>
      </w:r>
      <w:r w:rsidRPr="00270A51">
        <w:t xml:space="preserve">%, the renewal funding ratio for the same period is predicted to be </w:t>
      </w:r>
      <w:r w:rsidR="00EC34A6">
        <w:t>99</w:t>
      </w:r>
      <w:r w:rsidRPr="00270A51">
        <w:t>%.</w:t>
      </w:r>
      <w:r w:rsidR="00445AF6">
        <w:t xml:space="preserve"> Since 73% of t</w:t>
      </w:r>
      <w:r w:rsidR="007D2450">
        <w:t>he City’s footpath network is</w:t>
      </w:r>
      <w:r w:rsidR="00445AF6">
        <w:t xml:space="preserve"> condition 1 or 2 </w:t>
      </w:r>
      <w:r w:rsidR="007D2450">
        <w:t>thus explaining</w:t>
      </w:r>
      <w:r w:rsidR="00445AF6">
        <w:t xml:space="preserve"> the lower sustainability ratio.</w:t>
      </w:r>
    </w:p>
    <w:p w14:paraId="1D89CD49" w14:textId="77777777" w:rsidR="0013130B" w:rsidRDefault="0013130B" w:rsidP="00BB4409">
      <w:pPr>
        <w:pStyle w:val="BodyText"/>
        <w:spacing w:after="360"/>
        <w:jc w:val="right"/>
        <w:rPr>
          <w:rFonts w:cs="Arial"/>
          <w:szCs w:val="24"/>
        </w:rPr>
      </w:pPr>
      <w:r w:rsidRPr="008872CD">
        <w:rPr>
          <w:rFonts w:cs="Arial"/>
          <w:szCs w:val="24"/>
        </w:rPr>
        <w:t xml:space="preserve">See </w:t>
      </w:r>
      <w:r w:rsidR="007D2450">
        <w:rPr>
          <w:rFonts w:cs="Arial"/>
          <w:b/>
          <w:szCs w:val="24"/>
        </w:rPr>
        <w:t>(Section 6</w:t>
      </w:r>
      <w:r w:rsidRPr="008872CD">
        <w:rPr>
          <w:rFonts w:cs="Arial"/>
          <w:b/>
          <w:szCs w:val="24"/>
        </w:rPr>
        <w:t xml:space="preserve">) </w:t>
      </w:r>
      <w:r w:rsidRPr="008872CD">
        <w:rPr>
          <w:rFonts w:cs="Arial"/>
          <w:szCs w:val="24"/>
        </w:rPr>
        <w:t>for further information</w:t>
      </w:r>
    </w:p>
    <w:p w14:paraId="4A952D2E" w14:textId="77777777" w:rsidR="0013130B" w:rsidRPr="00085AB7" w:rsidRDefault="0013130B" w:rsidP="0013130B">
      <w:pPr>
        <w:pStyle w:val="BodyText"/>
        <w:rPr>
          <w:rFonts w:cs="Arial"/>
          <w:b/>
          <w:szCs w:val="24"/>
        </w:rPr>
      </w:pPr>
      <w:r w:rsidRPr="00085AB7">
        <w:rPr>
          <w:rFonts w:cs="Arial"/>
          <w:b/>
          <w:szCs w:val="24"/>
        </w:rPr>
        <w:t>Plan Improvement Strategy a</w:t>
      </w:r>
      <w:r w:rsidR="00BB4409" w:rsidRPr="00085AB7">
        <w:rPr>
          <w:rFonts w:cs="Arial"/>
          <w:b/>
          <w:szCs w:val="24"/>
        </w:rPr>
        <w:t xml:space="preserve">nd Monitoring </w:t>
      </w:r>
    </w:p>
    <w:p w14:paraId="57F3185F" w14:textId="77777777" w:rsidR="00013B4F" w:rsidRDefault="00013B4F" w:rsidP="008231FE">
      <w:r>
        <w:t xml:space="preserve">Most of the strategic improvements identified in the </w:t>
      </w:r>
      <w:r w:rsidR="00022643">
        <w:t>previous</w:t>
      </w:r>
      <w:r>
        <w:t xml:space="preserve"> FAMP are now complete.</w:t>
      </w:r>
    </w:p>
    <w:p w14:paraId="23FAEC79" w14:textId="77777777" w:rsidR="00013B4F" w:rsidRPr="00791102" w:rsidRDefault="00085AB7" w:rsidP="00791102">
      <w:r>
        <w:t xml:space="preserve">Further improvements that will continue to develop future revisions of the plan have been </w:t>
      </w:r>
      <w:r w:rsidRPr="00270A51">
        <w:t>identified</w:t>
      </w:r>
      <w:r w:rsidR="009010CD" w:rsidRPr="00270A51">
        <w:t xml:space="preserve"> and provide greater financial alignment with the Long Term Financial Plan 20</w:t>
      </w:r>
      <w:r w:rsidR="00311FAC">
        <w:t>20</w:t>
      </w:r>
      <w:r w:rsidR="009010CD" w:rsidRPr="00270A51">
        <w:t>/2</w:t>
      </w:r>
      <w:r w:rsidR="00311FAC">
        <w:t>1</w:t>
      </w:r>
      <w:r w:rsidR="009010CD" w:rsidRPr="00270A51">
        <w:t>-20</w:t>
      </w:r>
      <w:r w:rsidR="00311FAC">
        <w:t>29</w:t>
      </w:r>
      <w:r w:rsidR="009010CD" w:rsidRPr="00270A51">
        <w:t>/3</w:t>
      </w:r>
      <w:r w:rsidR="000527F5">
        <w:t>0</w:t>
      </w:r>
      <w:r w:rsidR="009010CD" w:rsidRPr="00270A51">
        <w:t>.</w:t>
      </w:r>
    </w:p>
    <w:p w14:paraId="6C4EB060" w14:textId="77777777" w:rsidR="0013130B" w:rsidRDefault="0013130B" w:rsidP="00687645">
      <w:pPr>
        <w:pStyle w:val="ListParagraph"/>
        <w:numPr>
          <w:ilvl w:val="0"/>
          <w:numId w:val="36"/>
        </w:numPr>
      </w:pPr>
      <w:r w:rsidRPr="0018328F">
        <w:t xml:space="preserve">Review asset custodianship across Service Units to better target ongoing maintenance and renewal expenditure </w:t>
      </w:r>
      <w:r w:rsidR="00121E21" w:rsidRPr="0018328F">
        <w:t>i.e.</w:t>
      </w:r>
      <w:r w:rsidR="00791102">
        <w:t xml:space="preserve"> P</w:t>
      </w:r>
      <w:r w:rsidRPr="0018328F">
        <w:t>arks.</w:t>
      </w:r>
      <w:r w:rsidRPr="00927BFB">
        <w:t xml:space="preserve"> </w:t>
      </w:r>
    </w:p>
    <w:p w14:paraId="21D14B96" w14:textId="77777777" w:rsidR="00791102" w:rsidRDefault="00791102" w:rsidP="00791102">
      <w:pPr>
        <w:pStyle w:val="ListParagraph"/>
      </w:pPr>
    </w:p>
    <w:p w14:paraId="754D84F1" w14:textId="77777777" w:rsidR="00E2441C" w:rsidRDefault="00E2441C" w:rsidP="00687645">
      <w:pPr>
        <w:pStyle w:val="ListParagraph"/>
        <w:numPr>
          <w:ilvl w:val="0"/>
          <w:numId w:val="36"/>
        </w:numPr>
      </w:pPr>
      <w:r>
        <w:t>Reassess higher risk rated</w:t>
      </w:r>
      <w:r w:rsidR="000273FB">
        <w:t xml:space="preserve"> </w:t>
      </w:r>
      <w:r w:rsidR="00687645">
        <w:t>(Condition</w:t>
      </w:r>
      <w:r w:rsidR="000273FB">
        <w:t xml:space="preserve"> 4 &amp; 5)</w:t>
      </w:r>
      <w:r>
        <w:t xml:space="preserve"> paths internally to </w:t>
      </w:r>
      <w:r w:rsidR="00791102">
        <w:t>create</w:t>
      </w:r>
      <w:r>
        <w:t xml:space="preserve"> </w:t>
      </w:r>
      <w:r w:rsidR="00791102">
        <w:t xml:space="preserve">a </w:t>
      </w:r>
      <w:r>
        <w:t xml:space="preserve">more </w:t>
      </w:r>
      <w:r w:rsidR="00791102">
        <w:t>informed</w:t>
      </w:r>
      <w:r>
        <w:t xml:space="preserve"> renewal works program.</w:t>
      </w:r>
    </w:p>
    <w:p w14:paraId="39F20E62" w14:textId="77777777" w:rsidR="00791102" w:rsidRDefault="00791102" w:rsidP="00791102">
      <w:pPr>
        <w:pStyle w:val="ListParagraph"/>
      </w:pPr>
    </w:p>
    <w:p w14:paraId="161E90C2" w14:textId="77777777" w:rsidR="00E145FA" w:rsidRDefault="00E145FA" w:rsidP="00687645">
      <w:pPr>
        <w:pStyle w:val="ListParagraph"/>
        <w:numPr>
          <w:ilvl w:val="0"/>
          <w:numId w:val="36"/>
        </w:numPr>
      </w:pPr>
      <w:r>
        <w:t>Review and update City’s Cycling and Walking Network</w:t>
      </w:r>
      <w:r w:rsidRPr="0026613B">
        <w:t xml:space="preserve"> Plan</w:t>
      </w:r>
      <w:r>
        <w:t xml:space="preserve"> 2016-2021</w:t>
      </w:r>
      <w:r w:rsidR="00791102">
        <w:t>.</w:t>
      </w:r>
      <w:r>
        <w:t xml:space="preserve"> </w:t>
      </w:r>
      <w:r w:rsidRPr="0026613B">
        <w:t xml:space="preserve"> </w:t>
      </w:r>
    </w:p>
    <w:p w14:paraId="2DA41D12" w14:textId="77777777" w:rsidR="00325444" w:rsidRDefault="0013130B" w:rsidP="001076D0">
      <w:pPr>
        <w:pStyle w:val="BodyText"/>
        <w:jc w:val="right"/>
        <w:rPr>
          <w:rFonts w:cs="Arial"/>
          <w:szCs w:val="24"/>
        </w:rPr>
      </w:pPr>
      <w:r w:rsidRPr="008872CD">
        <w:rPr>
          <w:rFonts w:cs="Arial"/>
          <w:szCs w:val="24"/>
        </w:rPr>
        <w:t xml:space="preserve">See </w:t>
      </w:r>
      <w:r w:rsidR="00791102">
        <w:rPr>
          <w:rFonts w:cs="Arial"/>
          <w:b/>
          <w:szCs w:val="24"/>
        </w:rPr>
        <w:t>(Section 8</w:t>
      </w:r>
      <w:r w:rsidRPr="008872CD">
        <w:rPr>
          <w:rFonts w:cs="Arial"/>
          <w:b/>
          <w:szCs w:val="24"/>
        </w:rPr>
        <w:t xml:space="preserve">) </w:t>
      </w:r>
      <w:r w:rsidRPr="008872CD">
        <w:rPr>
          <w:rFonts w:cs="Arial"/>
          <w:szCs w:val="24"/>
        </w:rPr>
        <w:t>for further information</w:t>
      </w:r>
    </w:p>
    <w:p w14:paraId="0BFC1708" w14:textId="77777777" w:rsidR="00E12743" w:rsidRPr="001076D0" w:rsidRDefault="00E12743" w:rsidP="001076D0">
      <w:pPr>
        <w:pStyle w:val="BodyText"/>
        <w:jc w:val="right"/>
        <w:rPr>
          <w:rFonts w:cs="Arial"/>
          <w:szCs w:val="24"/>
        </w:rPr>
      </w:pPr>
    </w:p>
    <w:p w14:paraId="610C3910" w14:textId="3061A2C8" w:rsidR="004F3404" w:rsidRPr="00140CAE" w:rsidRDefault="00140CAE" w:rsidP="006A79E8">
      <w:pPr>
        <w:pStyle w:val="Heading1"/>
        <w:rPr>
          <w:color w:val="0070C0"/>
        </w:rPr>
      </w:pPr>
      <w:bookmarkStart w:id="4" w:name="_Toc56419049"/>
      <w:r w:rsidRPr="00140CAE">
        <w:rPr>
          <w:color w:val="0070C0"/>
        </w:rPr>
        <w:lastRenderedPageBreak/>
        <w:t>2.</w:t>
      </w:r>
      <w:r w:rsidRPr="00140CAE">
        <w:rPr>
          <w:color w:val="0070C0"/>
        </w:rPr>
        <w:tab/>
        <w:t>Introduction</w:t>
      </w:r>
      <w:bookmarkEnd w:id="4"/>
    </w:p>
    <w:p w14:paraId="2CF60CA1" w14:textId="77777777" w:rsidR="004F3404" w:rsidRPr="00140CAE" w:rsidRDefault="005708F5" w:rsidP="00140CAE">
      <w:pPr>
        <w:pStyle w:val="Heading2"/>
      </w:pPr>
      <w:bookmarkStart w:id="5" w:name="_Toc56419050"/>
      <w:r w:rsidRPr="00140CAE">
        <w:t>2</w:t>
      </w:r>
      <w:r w:rsidR="004F3404" w:rsidRPr="00140CAE">
        <w:t>.1</w:t>
      </w:r>
      <w:r w:rsidR="004F3404" w:rsidRPr="00140CAE">
        <w:tab/>
        <w:t>Background</w:t>
      </w:r>
      <w:bookmarkEnd w:id="5"/>
    </w:p>
    <w:p w14:paraId="764F52F4" w14:textId="77777777" w:rsidR="00C8707D" w:rsidRDefault="00C8707D" w:rsidP="00616E47">
      <w:r w:rsidRPr="00240012">
        <w:t xml:space="preserve">This asset management plan </w:t>
      </w:r>
      <w:r>
        <w:t xml:space="preserve">has been developed to assist the Infrastructure Services unit </w:t>
      </w:r>
      <w:r w:rsidRPr="00240012">
        <w:t xml:space="preserve">to outline the management of assets, compliance with regulatory requirements, and to highlight the funding required to provide the </w:t>
      </w:r>
      <w:r>
        <w:t>appropriate</w:t>
      </w:r>
      <w:r w:rsidRPr="00240012">
        <w:t xml:space="preserve"> </w:t>
      </w:r>
      <w:r>
        <w:t>L</w:t>
      </w:r>
      <w:r w:rsidRPr="00240012">
        <w:t xml:space="preserve">evels of </w:t>
      </w:r>
      <w:r>
        <w:t>S</w:t>
      </w:r>
      <w:r w:rsidRPr="00240012">
        <w:t>ervice.</w:t>
      </w:r>
    </w:p>
    <w:p w14:paraId="5C2E4C01" w14:textId="77777777" w:rsidR="00EC02DA" w:rsidRPr="00240012" w:rsidRDefault="00EC02DA" w:rsidP="00616E47">
      <w:r>
        <w:t xml:space="preserve">The assets covered by this plan are summarised in Table 2.1.1. Figures as at </w:t>
      </w:r>
      <w:r w:rsidR="00174BC7">
        <w:t>June</w:t>
      </w:r>
      <w:r>
        <w:t xml:space="preserve"> 2020 have been extracted from Council’s Technology One Enterprise Asset Management System (EAM)</w:t>
      </w:r>
    </w:p>
    <w:p w14:paraId="7726BBD2" w14:textId="77777777" w:rsidR="00452489" w:rsidRPr="00140CAE" w:rsidRDefault="00DE2A0E" w:rsidP="00616E47">
      <w:pPr>
        <w:keepNext/>
        <w:rPr>
          <w:b/>
          <w:iCs/>
          <w:color w:val="0070C0"/>
          <w:szCs w:val="22"/>
        </w:rPr>
      </w:pPr>
      <w:r w:rsidRPr="00140CAE">
        <w:rPr>
          <w:b/>
          <w:iCs/>
          <w:color w:val="0070C0"/>
          <w:szCs w:val="22"/>
        </w:rPr>
        <w:t>Ta</w:t>
      </w:r>
      <w:r w:rsidR="00AC04F3" w:rsidRPr="00140CAE">
        <w:rPr>
          <w:b/>
          <w:iCs/>
          <w:color w:val="0070C0"/>
          <w:szCs w:val="22"/>
        </w:rPr>
        <w:t xml:space="preserve">ble </w:t>
      </w:r>
      <w:proofErr w:type="gramStart"/>
      <w:r w:rsidR="00AC04F3" w:rsidRPr="00140CAE">
        <w:rPr>
          <w:b/>
          <w:iCs/>
          <w:color w:val="0070C0"/>
          <w:szCs w:val="22"/>
        </w:rPr>
        <w:t>2.1</w:t>
      </w:r>
      <w:r w:rsidR="00290EBC" w:rsidRPr="00140CAE">
        <w:rPr>
          <w:b/>
          <w:iCs/>
          <w:color w:val="0070C0"/>
          <w:szCs w:val="22"/>
        </w:rPr>
        <w:t>.1</w:t>
      </w:r>
      <w:r w:rsidR="00AC04F3" w:rsidRPr="00140CAE">
        <w:rPr>
          <w:b/>
          <w:iCs/>
          <w:color w:val="0070C0"/>
          <w:szCs w:val="22"/>
        </w:rPr>
        <w:t xml:space="preserve">  </w:t>
      </w:r>
      <w:r w:rsidR="00AC04F3" w:rsidRPr="00140CAE">
        <w:rPr>
          <w:b/>
          <w:iCs/>
          <w:color w:val="0070C0"/>
          <w:szCs w:val="22"/>
        </w:rPr>
        <w:tab/>
      </w:r>
      <w:proofErr w:type="gramEnd"/>
      <w:r w:rsidR="00174BC7" w:rsidRPr="00140CAE">
        <w:rPr>
          <w:b/>
          <w:iCs/>
          <w:color w:val="0070C0"/>
          <w:szCs w:val="22"/>
        </w:rPr>
        <w:t xml:space="preserve">Footpath Infrastructure </w:t>
      </w:r>
      <w:r w:rsidR="00290EBC" w:rsidRPr="00140CAE">
        <w:rPr>
          <w:b/>
          <w:iCs/>
          <w:color w:val="0070C0"/>
          <w:szCs w:val="22"/>
        </w:rPr>
        <w:t xml:space="preserve">Assets covered by this </w:t>
      </w:r>
      <w:r w:rsidR="00174BC7" w:rsidRPr="00140CAE">
        <w:rPr>
          <w:b/>
          <w:iCs/>
          <w:color w:val="0070C0"/>
          <w:szCs w:val="22"/>
        </w:rPr>
        <w:t>FAMP</w:t>
      </w:r>
      <w:r w:rsidR="0081371E" w:rsidRPr="00140CAE">
        <w:rPr>
          <w:b/>
          <w:iCs/>
          <w:color w:val="0070C0"/>
          <w:szCs w:val="22"/>
        </w:rPr>
        <w:t xml:space="preserve"> </w:t>
      </w:r>
    </w:p>
    <w:tbl>
      <w:tblPr>
        <w:tblW w:w="8620" w:type="dxa"/>
        <w:tblInd w:w="93" w:type="dxa"/>
        <w:tblLook w:val="04A0" w:firstRow="1" w:lastRow="0" w:firstColumn="1" w:lastColumn="0" w:noHBand="0" w:noVBand="1"/>
      </w:tblPr>
      <w:tblGrid>
        <w:gridCol w:w="2140"/>
        <w:gridCol w:w="2520"/>
        <w:gridCol w:w="1980"/>
        <w:gridCol w:w="1980"/>
      </w:tblGrid>
      <w:tr w:rsidR="00452489" w:rsidRPr="00452489" w14:paraId="3EBB0BBD" w14:textId="77777777" w:rsidTr="00E276A6">
        <w:trPr>
          <w:trHeight w:val="600"/>
        </w:trPr>
        <w:tc>
          <w:tcPr>
            <w:tcW w:w="2140" w:type="dxa"/>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240051FD" w14:textId="77777777" w:rsidR="00452489" w:rsidRPr="00452489" w:rsidRDefault="00452489" w:rsidP="00452489">
            <w:pPr>
              <w:spacing w:after="0"/>
              <w:jc w:val="center"/>
              <w:rPr>
                <w:rFonts w:ascii="Arial Narrow" w:hAnsi="Arial Narrow"/>
                <w:b/>
                <w:bCs/>
                <w:color w:val="FFFFFF"/>
                <w:szCs w:val="24"/>
                <w:lang w:eastAsia="en-AU"/>
              </w:rPr>
            </w:pPr>
            <w:r w:rsidRPr="00452489">
              <w:rPr>
                <w:rFonts w:ascii="Arial Narrow" w:hAnsi="Arial Narrow"/>
                <w:b/>
                <w:bCs/>
                <w:color w:val="FFFFFF"/>
                <w:szCs w:val="24"/>
                <w:lang w:eastAsia="en-AU"/>
              </w:rPr>
              <w:t>Jurisdiction</w:t>
            </w:r>
          </w:p>
        </w:tc>
        <w:tc>
          <w:tcPr>
            <w:tcW w:w="2520" w:type="dxa"/>
            <w:tcBorders>
              <w:top w:val="single" w:sz="8" w:space="0" w:color="auto"/>
              <w:left w:val="nil"/>
              <w:bottom w:val="thinThickSmallGap" w:sz="24" w:space="0" w:color="auto"/>
              <w:right w:val="single" w:sz="8" w:space="0" w:color="FFFFFF"/>
            </w:tcBorders>
            <w:shd w:val="clear" w:color="000000" w:fill="4BACC6"/>
            <w:vAlign w:val="center"/>
            <w:hideMark/>
          </w:tcPr>
          <w:p w14:paraId="3B562390" w14:textId="77777777" w:rsidR="00452489" w:rsidRPr="00452489" w:rsidRDefault="00452489" w:rsidP="00452489">
            <w:pPr>
              <w:spacing w:after="0"/>
              <w:jc w:val="center"/>
              <w:rPr>
                <w:rFonts w:ascii="Arial Narrow" w:hAnsi="Arial Narrow"/>
                <w:b/>
                <w:bCs/>
                <w:color w:val="FFFFFF"/>
                <w:szCs w:val="24"/>
                <w:lang w:eastAsia="en-AU"/>
              </w:rPr>
            </w:pPr>
            <w:r w:rsidRPr="00452489">
              <w:rPr>
                <w:rFonts w:ascii="Arial Narrow" w:hAnsi="Arial Narrow"/>
                <w:b/>
                <w:bCs/>
                <w:color w:val="FFFFFF"/>
                <w:szCs w:val="24"/>
                <w:lang w:eastAsia="en-AU"/>
              </w:rPr>
              <w:t>Width</w:t>
            </w:r>
          </w:p>
        </w:tc>
        <w:tc>
          <w:tcPr>
            <w:tcW w:w="1980" w:type="dxa"/>
            <w:tcBorders>
              <w:top w:val="single" w:sz="8" w:space="0" w:color="auto"/>
              <w:left w:val="nil"/>
              <w:bottom w:val="thinThickSmallGap" w:sz="24" w:space="0" w:color="auto"/>
              <w:right w:val="single" w:sz="8" w:space="0" w:color="FFFFFF"/>
            </w:tcBorders>
            <w:shd w:val="clear" w:color="000000" w:fill="4BACC6"/>
            <w:vAlign w:val="center"/>
            <w:hideMark/>
          </w:tcPr>
          <w:p w14:paraId="729F1E2E" w14:textId="77777777" w:rsidR="00452489" w:rsidRPr="00452489" w:rsidRDefault="00452489" w:rsidP="00452489">
            <w:pPr>
              <w:spacing w:after="0"/>
              <w:jc w:val="center"/>
              <w:rPr>
                <w:rFonts w:ascii="Arial Narrow" w:hAnsi="Arial Narrow"/>
                <w:b/>
                <w:bCs/>
                <w:color w:val="FFFFFF"/>
                <w:szCs w:val="24"/>
                <w:lang w:eastAsia="en-AU"/>
              </w:rPr>
            </w:pPr>
            <w:r w:rsidRPr="00452489">
              <w:rPr>
                <w:rFonts w:ascii="Arial Narrow" w:hAnsi="Arial Narrow"/>
                <w:b/>
                <w:bCs/>
                <w:color w:val="FFFFFF"/>
                <w:szCs w:val="24"/>
                <w:lang w:eastAsia="en-AU"/>
              </w:rPr>
              <w:t>Length (km)</w:t>
            </w:r>
          </w:p>
        </w:tc>
        <w:tc>
          <w:tcPr>
            <w:tcW w:w="1980" w:type="dxa"/>
            <w:tcBorders>
              <w:top w:val="single" w:sz="8" w:space="0" w:color="auto"/>
              <w:left w:val="nil"/>
              <w:bottom w:val="thinThickSmallGap" w:sz="24" w:space="0" w:color="auto"/>
              <w:right w:val="single" w:sz="8" w:space="0" w:color="auto"/>
            </w:tcBorders>
            <w:shd w:val="clear" w:color="000000" w:fill="4BACC6"/>
            <w:vAlign w:val="center"/>
            <w:hideMark/>
          </w:tcPr>
          <w:p w14:paraId="5D55C6DE" w14:textId="77777777" w:rsidR="00452489" w:rsidRPr="00452489" w:rsidRDefault="00452489" w:rsidP="00452489">
            <w:pPr>
              <w:spacing w:after="0"/>
              <w:jc w:val="center"/>
              <w:rPr>
                <w:rFonts w:ascii="Arial Narrow" w:hAnsi="Arial Narrow"/>
                <w:b/>
                <w:bCs/>
                <w:color w:val="FFFFFF"/>
                <w:szCs w:val="24"/>
                <w:lang w:eastAsia="en-AU"/>
              </w:rPr>
            </w:pPr>
            <w:r w:rsidRPr="00452489">
              <w:rPr>
                <w:rFonts w:ascii="Arial Narrow" w:hAnsi="Arial Narrow"/>
                <w:b/>
                <w:bCs/>
                <w:color w:val="FFFFFF"/>
                <w:szCs w:val="24"/>
                <w:lang w:eastAsia="en-AU"/>
              </w:rPr>
              <w:t>Area (m2)</w:t>
            </w:r>
          </w:p>
        </w:tc>
      </w:tr>
      <w:tr w:rsidR="00452489" w:rsidRPr="00452489" w14:paraId="33A9B3AA" w14:textId="77777777" w:rsidTr="00E276A6">
        <w:trPr>
          <w:trHeight w:val="600"/>
        </w:trPr>
        <w:tc>
          <w:tcPr>
            <w:tcW w:w="2140" w:type="dxa"/>
            <w:vMerge w:val="restart"/>
            <w:tcBorders>
              <w:top w:val="thinThickSmallGap" w:sz="24" w:space="0" w:color="auto"/>
              <w:left w:val="single" w:sz="8" w:space="0" w:color="auto"/>
              <w:bottom w:val="single" w:sz="12" w:space="0" w:color="FFFFFF"/>
              <w:right w:val="thinThickSmallGap" w:sz="24" w:space="0" w:color="auto"/>
            </w:tcBorders>
            <w:shd w:val="clear" w:color="000000" w:fill="B7DEE8"/>
            <w:vAlign w:val="center"/>
            <w:hideMark/>
          </w:tcPr>
          <w:p w14:paraId="28BE2A61" w14:textId="77777777" w:rsidR="00452489" w:rsidRPr="00452489" w:rsidRDefault="00452489" w:rsidP="00452489">
            <w:pPr>
              <w:spacing w:after="0"/>
              <w:jc w:val="center"/>
              <w:rPr>
                <w:rFonts w:ascii="Arial Narrow" w:hAnsi="Arial Narrow"/>
                <w:szCs w:val="24"/>
                <w:lang w:eastAsia="en-AU"/>
              </w:rPr>
            </w:pPr>
            <w:r w:rsidRPr="00452489">
              <w:rPr>
                <w:rFonts w:ascii="Arial Narrow" w:hAnsi="Arial Narrow"/>
                <w:szCs w:val="24"/>
                <w:lang w:eastAsia="en-AU"/>
              </w:rPr>
              <w:t>Parks</w:t>
            </w:r>
          </w:p>
        </w:tc>
        <w:tc>
          <w:tcPr>
            <w:tcW w:w="2520" w:type="dxa"/>
            <w:tcBorders>
              <w:top w:val="thinThickSmallGap" w:sz="24" w:space="0" w:color="auto"/>
              <w:left w:val="thinThickSmallGap" w:sz="24" w:space="0" w:color="auto"/>
              <w:bottom w:val="single" w:sz="8" w:space="0" w:color="FFFFFF"/>
              <w:right w:val="single" w:sz="8" w:space="0" w:color="FFFFFF"/>
            </w:tcBorders>
            <w:shd w:val="clear" w:color="000000" w:fill="B7DEE8"/>
            <w:vAlign w:val="center"/>
            <w:hideMark/>
          </w:tcPr>
          <w:p w14:paraId="226C811D"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&lt; 1.5m width</w:t>
            </w:r>
          </w:p>
        </w:tc>
        <w:tc>
          <w:tcPr>
            <w:tcW w:w="1980" w:type="dxa"/>
            <w:tcBorders>
              <w:top w:val="thinThickSmallGap" w:sz="24" w:space="0" w:color="auto"/>
              <w:left w:val="nil"/>
              <w:bottom w:val="single" w:sz="8" w:space="0" w:color="FFFFFF"/>
              <w:right w:val="single" w:sz="8" w:space="0" w:color="FFFFFF"/>
            </w:tcBorders>
            <w:shd w:val="clear" w:color="000000" w:fill="B7DEE8"/>
            <w:vAlign w:val="center"/>
            <w:hideMark/>
          </w:tcPr>
          <w:p w14:paraId="37A20004"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5.44</w:t>
            </w:r>
          </w:p>
        </w:tc>
        <w:tc>
          <w:tcPr>
            <w:tcW w:w="1980" w:type="dxa"/>
            <w:tcBorders>
              <w:top w:val="thinThickSmallGap" w:sz="24" w:space="0" w:color="auto"/>
              <w:left w:val="nil"/>
              <w:bottom w:val="single" w:sz="8" w:space="0" w:color="FFFFFF"/>
              <w:right w:val="single" w:sz="8" w:space="0" w:color="auto"/>
            </w:tcBorders>
            <w:shd w:val="clear" w:color="000000" w:fill="B7DEE8"/>
            <w:vAlign w:val="center"/>
            <w:hideMark/>
          </w:tcPr>
          <w:p w14:paraId="5CE7620F"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6,57</w:t>
            </w:r>
            <w:r w:rsidR="006E1FBE">
              <w:rPr>
                <w:rFonts w:ascii="Arial Narrow" w:hAnsi="Arial Narrow"/>
                <w:color w:val="000000"/>
                <w:szCs w:val="24"/>
                <w:lang w:eastAsia="en-AU"/>
              </w:rPr>
              <w:t>0</w:t>
            </w:r>
          </w:p>
        </w:tc>
      </w:tr>
      <w:tr w:rsidR="00452489" w:rsidRPr="00452489" w14:paraId="616C970B" w14:textId="77777777" w:rsidTr="00E276A6">
        <w:trPr>
          <w:trHeight w:val="600"/>
        </w:trPr>
        <w:tc>
          <w:tcPr>
            <w:tcW w:w="2140" w:type="dxa"/>
            <w:vMerge/>
            <w:tcBorders>
              <w:top w:val="single" w:sz="8" w:space="0" w:color="FFFFFF"/>
              <w:left w:val="single" w:sz="8" w:space="0" w:color="auto"/>
              <w:bottom w:val="single" w:sz="12" w:space="0" w:color="FFFFFF"/>
              <w:right w:val="thinThickSmallGap" w:sz="24" w:space="0" w:color="auto"/>
            </w:tcBorders>
            <w:vAlign w:val="center"/>
            <w:hideMark/>
          </w:tcPr>
          <w:p w14:paraId="105E4EE9" w14:textId="77777777" w:rsidR="00452489" w:rsidRPr="00452489" w:rsidRDefault="00452489" w:rsidP="00452489">
            <w:pPr>
              <w:spacing w:after="0"/>
              <w:jc w:val="left"/>
              <w:rPr>
                <w:rFonts w:ascii="Arial Narrow" w:hAnsi="Arial Narrow"/>
                <w:szCs w:val="24"/>
                <w:lang w:eastAsia="en-AU"/>
              </w:rPr>
            </w:pPr>
          </w:p>
        </w:tc>
        <w:tc>
          <w:tcPr>
            <w:tcW w:w="2520" w:type="dxa"/>
            <w:tcBorders>
              <w:top w:val="single" w:sz="8" w:space="0" w:color="FFFFFF"/>
              <w:left w:val="thinThickSmallGap" w:sz="24" w:space="0" w:color="auto"/>
              <w:bottom w:val="nil"/>
              <w:right w:val="single" w:sz="8" w:space="0" w:color="FFFFFF"/>
            </w:tcBorders>
            <w:shd w:val="clear" w:color="000000" w:fill="DAEEF3"/>
            <w:vAlign w:val="center"/>
            <w:hideMark/>
          </w:tcPr>
          <w:p w14:paraId="0D06056F"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1.5m to 2.0m width</w:t>
            </w:r>
          </w:p>
        </w:tc>
        <w:tc>
          <w:tcPr>
            <w:tcW w:w="1980" w:type="dxa"/>
            <w:tcBorders>
              <w:top w:val="single" w:sz="8" w:space="0" w:color="FFFFFF"/>
              <w:left w:val="nil"/>
              <w:bottom w:val="single" w:sz="8" w:space="0" w:color="FFFFFF"/>
              <w:right w:val="single" w:sz="8" w:space="0" w:color="FFFFFF"/>
            </w:tcBorders>
            <w:shd w:val="clear" w:color="000000" w:fill="DAEEF3"/>
            <w:vAlign w:val="center"/>
            <w:hideMark/>
          </w:tcPr>
          <w:p w14:paraId="3B0B1D0F"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38.59</w:t>
            </w:r>
          </w:p>
        </w:tc>
        <w:tc>
          <w:tcPr>
            <w:tcW w:w="1980" w:type="dxa"/>
            <w:tcBorders>
              <w:top w:val="single" w:sz="8" w:space="0" w:color="FFFFFF"/>
              <w:left w:val="nil"/>
              <w:bottom w:val="single" w:sz="8" w:space="0" w:color="FFFFFF"/>
              <w:right w:val="single" w:sz="8" w:space="0" w:color="auto"/>
            </w:tcBorders>
            <w:shd w:val="clear" w:color="000000" w:fill="DAEEF3"/>
            <w:vAlign w:val="center"/>
            <w:hideMark/>
          </w:tcPr>
          <w:p w14:paraId="3466A8F5"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72,211</w:t>
            </w:r>
          </w:p>
        </w:tc>
      </w:tr>
      <w:tr w:rsidR="00452489" w:rsidRPr="00452489" w14:paraId="405DCF38" w14:textId="77777777" w:rsidTr="00E276A6">
        <w:trPr>
          <w:trHeight w:val="600"/>
        </w:trPr>
        <w:tc>
          <w:tcPr>
            <w:tcW w:w="2140" w:type="dxa"/>
            <w:vMerge/>
            <w:tcBorders>
              <w:top w:val="nil"/>
              <w:left w:val="single" w:sz="8" w:space="0" w:color="auto"/>
              <w:bottom w:val="single" w:sz="12" w:space="0" w:color="FFFFFF"/>
              <w:right w:val="thinThickSmallGap" w:sz="24" w:space="0" w:color="auto"/>
            </w:tcBorders>
            <w:vAlign w:val="center"/>
            <w:hideMark/>
          </w:tcPr>
          <w:p w14:paraId="1DEB6B3F" w14:textId="77777777" w:rsidR="00452489" w:rsidRPr="00452489" w:rsidRDefault="00452489" w:rsidP="00452489">
            <w:pPr>
              <w:spacing w:after="0"/>
              <w:jc w:val="left"/>
              <w:rPr>
                <w:rFonts w:ascii="Arial Narrow" w:hAnsi="Arial Narrow"/>
                <w:szCs w:val="24"/>
                <w:lang w:eastAsia="en-AU"/>
              </w:rPr>
            </w:pPr>
          </w:p>
        </w:tc>
        <w:tc>
          <w:tcPr>
            <w:tcW w:w="2520" w:type="dxa"/>
            <w:tcBorders>
              <w:top w:val="single" w:sz="8" w:space="0" w:color="FFFFFF"/>
              <w:left w:val="thinThickSmallGap" w:sz="24" w:space="0" w:color="auto"/>
              <w:bottom w:val="single" w:sz="8" w:space="0" w:color="FFFFFF"/>
              <w:right w:val="single" w:sz="8" w:space="0" w:color="FFFFFF"/>
            </w:tcBorders>
            <w:shd w:val="clear" w:color="000000" w:fill="B7DEE8"/>
            <w:vAlign w:val="center"/>
            <w:hideMark/>
          </w:tcPr>
          <w:p w14:paraId="6B7E1917"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&gt; 2.0m width</w:t>
            </w:r>
          </w:p>
        </w:tc>
        <w:tc>
          <w:tcPr>
            <w:tcW w:w="1980" w:type="dxa"/>
            <w:tcBorders>
              <w:top w:val="nil"/>
              <w:left w:val="nil"/>
              <w:bottom w:val="single" w:sz="8" w:space="0" w:color="FFFFFF"/>
              <w:right w:val="single" w:sz="8" w:space="0" w:color="FFFFFF"/>
            </w:tcBorders>
            <w:shd w:val="clear" w:color="000000" w:fill="B7DEE8"/>
            <w:vAlign w:val="center"/>
            <w:hideMark/>
          </w:tcPr>
          <w:p w14:paraId="5F9572F3"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66.</w:t>
            </w:r>
            <w:r w:rsidR="006E1FBE">
              <w:rPr>
                <w:rFonts w:ascii="Arial Narrow" w:hAnsi="Arial Narrow"/>
                <w:color w:val="000000"/>
                <w:szCs w:val="24"/>
                <w:lang w:eastAsia="en-AU"/>
              </w:rPr>
              <w:t>98</w:t>
            </w:r>
          </w:p>
        </w:tc>
        <w:tc>
          <w:tcPr>
            <w:tcW w:w="1980" w:type="dxa"/>
            <w:tcBorders>
              <w:top w:val="nil"/>
              <w:left w:val="nil"/>
              <w:bottom w:val="single" w:sz="8" w:space="0" w:color="FFFFFF"/>
              <w:right w:val="single" w:sz="8" w:space="0" w:color="auto"/>
            </w:tcBorders>
            <w:shd w:val="clear" w:color="000000" w:fill="B7DEE8"/>
            <w:vAlign w:val="center"/>
            <w:hideMark/>
          </w:tcPr>
          <w:p w14:paraId="0367CE31"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163,</w:t>
            </w:r>
            <w:r w:rsidR="006E1FBE">
              <w:rPr>
                <w:rFonts w:ascii="Arial Narrow" w:hAnsi="Arial Narrow"/>
                <w:color w:val="000000"/>
                <w:szCs w:val="24"/>
                <w:lang w:eastAsia="en-AU"/>
              </w:rPr>
              <w:t>753</w:t>
            </w:r>
          </w:p>
        </w:tc>
      </w:tr>
      <w:tr w:rsidR="00452489" w:rsidRPr="00452489" w14:paraId="62B2AB48" w14:textId="77777777" w:rsidTr="00E276A6">
        <w:trPr>
          <w:trHeight w:val="600"/>
        </w:trPr>
        <w:tc>
          <w:tcPr>
            <w:tcW w:w="2140" w:type="dxa"/>
            <w:vMerge w:val="restart"/>
            <w:tcBorders>
              <w:top w:val="single" w:sz="12" w:space="0" w:color="FFFFFF"/>
              <w:left w:val="single" w:sz="8" w:space="0" w:color="auto"/>
              <w:bottom w:val="single" w:sz="12" w:space="0" w:color="FFFFFF"/>
              <w:right w:val="thinThickSmallGap" w:sz="24" w:space="0" w:color="auto"/>
            </w:tcBorders>
            <w:shd w:val="clear" w:color="000000" w:fill="DAEEF3"/>
            <w:vAlign w:val="center"/>
            <w:hideMark/>
          </w:tcPr>
          <w:p w14:paraId="69E371A1" w14:textId="77777777" w:rsidR="00452489" w:rsidRPr="00452489" w:rsidRDefault="00452489" w:rsidP="00452489">
            <w:pPr>
              <w:spacing w:after="0"/>
              <w:jc w:val="center"/>
              <w:rPr>
                <w:rFonts w:ascii="Arial Narrow" w:hAnsi="Arial Narrow"/>
                <w:szCs w:val="24"/>
                <w:lang w:eastAsia="en-AU"/>
              </w:rPr>
            </w:pPr>
            <w:r w:rsidRPr="00452489">
              <w:rPr>
                <w:rFonts w:ascii="Arial Narrow" w:hAnsi="Arial Narrow"/>
                <w:szCs w:val="24"/>
                <w:lang w:eastAsia="en-AU"/>
              </w:rPr>
              <w:t>Roads</w:t>
            </w:r>
          </w:p>
        </w:tc>
        <w:tc>
          <w:tcPr>
            <w:tcW w:w="2520" w:type="dxa"/>
            <w:tcBorders>
              <w:top w:val="nil"/>
              <w:left w:val="thinThickSmallGap" w:sz="24" w:space="0" w:color="auto"/>
              <w:bottom w:val="single" w:sz="8" w:space="0" w:color="FFFFFF" w:themeColor="background1"/>
              <w:right w:val="single" w:sz="8" w:space="0" w:color="FFFFFF"/>
            </w:tcBorders>
            <w:shd w:val="clear" w:color="000000" w:fill="DAEEF3"/>
            <w:vAlign w:val="center"/>
            <w:hideMark/>
          </w:tcPr>
          <w:p w14:paraId="558B28F8"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&lt; 1.5m width</w:t>
            </w:r>
          </w:p>
        </w:tc>
        <w:tc>
          <w:tcPr>
            <w:tcW w:w="1980" w:type="dxa"/>
            <w:tcBorders>
              <w:top w:val="nil"/>
              <w:left w:val="nil"/>
              <w:bottom w:val="single" w:sz="8" w:space="0" w:color="FFFFFF"/>
              <w:right w:val="single" w:sz="8" w:space="0" w:color="FFFFFF"/>
            </w:tcBorders>
            <w:shd w:val="clear" w:color="000000" w:fill="DAEEF3"/>
            <w:vAlign w:val="center"/>
            <w:hideMark/>
          </w:tcPr>
          <w:p w14:paraId="56AF991E"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64.88</w:t>
            </w:r>
          </w:p>
        </w:tc>
        <w:tc>
          <w:tcPr>
            <w:tcW w:w="1980" w:type="dxa"/>
            <w:tcBorders>
              <w:top w:val="nil"/>
              <w:left w:val="nil"/>
              <w:bottom w:val="single" w:sz="8" w:space="0" w:color="FFFFFF"/>
              <w:right w:val="single" w:sz="8" w:space="0" w:color="auto"/>
            </w:tcBorders>
            <w:shd w:val="clear" w:color="000000" w:fill="DAEEF3"/>
            <w:vAlign w:val="center"/>
            <w:hideMark/>
          </w:tcPr>
          <w:p w14:paraId="29920ABD"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81,071</w:t>
            </w:r>
          </w:p>
        </w:tc>
      </w:tr>
      <w:tr w:rsidR="00452489" w:rsidRPr="00452489" w14:paraId="6A15953D" w14:textId="77777777" w:rsidTr="00E276A6">
        <w:trPr>
          <w:trHeight w:val="600"/>
        </w:trPr>
        <w:tc>
          <w:tcPr>
            <w:tcW w:w="2140" w:type="dxa"/>
            <w:vMerge/>
            <w:tcBorders>
              <w:top w:val="single" w:sz="12" w:space="0" w:color="FFFFFF"/>
              <w:left w:val="single" w:sz="8" w:space="0" w:color="auto"/>
              <w:bottom w:val="single" w:sz="12" w:space="0" w:color="FFFFFF"/>
              <w:right w:val="thinThickSmallGap" w:sz="24" w:space="0" w:color="auto"/>
            </w:tcBorders>
            <w:vAlign w:val="center"/>
            <w:hideMark/>
          </w:tcPr>
          <w:p w14:paraId="7B61D2F4" w14:textId="77777777" w:rsidR="00452489" w:rsidRPr="00452489" w:rsidRDefault="00452489" w:rsidP="00452489">
            <w:pPr>
              <w:spacing w:after="0"/>
              <w:jc w:val="left"/>
              <w:rPr>
                <w:rFonts w:ascii="Arial Narrow" w:hAnsi="Arial Narrow"/>
                <w:szCs w:val="24"/>
                <w:lang w:eastAsia="en-AU"/>
              </w:rPr>
            </w:pPr>
          </w:p>
        </w:tc>
        <w:tc>
          <w:tcPr>
            <w:tcW w:w="2520" w:type="dxa"/>
            <w:tcBorders>
              <w:top w:val="single" w:sz="8" w:space="0" w:color="FFFFFF" w:themeColor="background1"/>
              <w:left w:val="thinThickSmallGap" w:sz="24" w:space="0" w:color="auto"/>
              <w:bottom w:val="single" w:sz="8" w:space="0" w:color="FFFFFF"/>
              <w:right w:val="single" w:sz="8" w:space="0" w:color="FFFFFF"/>
            </w:tcBorders>
            <w:shd w:val="clear" w:color="000000" w:fill="B7DEE8"/>
            <w:vAlign w:val="center"/>
            <w:hideMark/>
          </w:tcPr>
          <w:p w14:paraId="72E6C6C2"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1.5m to 2.0m width</w:t>
            </w:r>
          </w:p>
        </w:tc>
        <w:tc>
          <w:tcPr>
            <w:tcW w:w="1980" w:type="dxa"/>
            <w:tcBorders>
              <w:top w:val="nil"/>
              <w:left w:val="nil"/>
              <w:bottom w:val="single" w:sz="8" w:space="0" w:color="FFFFFF"/>
              <w:right w:val="single" w:sz="8" w:space="0" w:color="FFFFFF"/>
            </w:tcBorders>
            <w:shd w:val="clear" w:color="000000" w:fill="B7DEE8"/>
            <w:vAlign w:val="center"/>
            <w:hideMark/>
          </w:tcPr>
          <w:p w14:paraId="1A6404E1"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373.6</w:t>
            </w:r>
            <w:r w:rsidR="006F29A2">
              <w:rPr>
                <w:rFonts w:ascii="Arial Narrow" w:hAnsi="Arial Narrow"/>
                <w:color w:val="000000"/>
                <w:szCs w:val="24"/>
                <w:lang w:eastAsia="en-AU"/>
              </w:rPr>
              <w:t>4</w:t>
            </w:r>
          </w:p>
        </w:tc>
        <w:tc>
          <w:tcPr>
            <w:tcW w:w="1980" w:type="dxa"/>
            <w:tcBorders>
              <w:top w:val="nil"/>
              <w:left w:val="nil"/>
              <w:bottom w:val="single" w:sz="8" w:space="0" w:color="FFFFFF"/>
              <w:right w:val="single" w:sz="8" w:space="0" w:color="auto"/>
            </w:tcBorders>
            <w:shd w:val="clear" w:color="000000" w:fill="B7DEE8"/>
            <w:vAlign w:val="center"/>
            <w:hideMark/>
          </w:tcPr>
          <w:p w14:paraId="0A1BDDB8"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647,</w:t>
            </w:r>
            <w:r w:rsidR="006F29A2">
              <w:rPr>
                <w:rFonts w:ascii="Arial Narrow" w:hAnsi="Arial Narrow"/>
                <w:color w:val="000000"/>
                <w:szCs w:val="24"/>
                <w:lang w:eastAsia="en-AU"/>
              </w:rPr>
              <w:t>469</w:t>
            </w:r>
          </w:p>
        </w:tc>
      </w:tr>
      <w:tr w:rsidR="00452489" w:rsidRPr="00452489" w14:paraId="7BDC8186" w14:textId="77777777" w:rsidTr="00E276A6">
        <w:trPr>
          <w:trHeight w:val="600"/>
        </w:trPr>
        <w:tc>
          <w:tcPr>
            <w:tcW w:w="2140" w:type="dxa"/>
            <w:vMerge/>
            <w:tcBorders>
              <w:top w:val="single" w:sz="12" w:space="0" w:color="FFFFFF"/>
              <w:left w:val="single" w:sz="8" w:space="0" w:color="auto"/>
              <w:bottom w:val="single" w:sz="8" w:space="0" w:color="auto"/>
              <w:right w:val="thinThickSmallGap" w:sz="24" w:space="0" w:color="auto"/>
            </w:tcBorders>
            <w:vAlign w:val="center"/>
            <w:hideMark/>
          </w:tcPr>
          <w:p w14:paraId="590B243E" w14:textId="77777777" w:rsidR="00452489" w:rsidRPr="00452489" w:rsidRDefault="00452489" w:rsidP="00452489">
            <w:pPr>
              <w:spacing w:after="0"/>
              <w:jc w:val="left"/>
              <w:rPr>
                <w:rFonts w:ascii="Arial Narrow" w:hAnsi="Arial Narrow"/>
                <w:szCs w:val="24"/>
                <w:lang w:eastAsia="en-AU"/>
              </w:rPr>
            </w:pPr>
          </w:p>
        </w:tc>
        <w:tc>
          <w:tcPr>
            <w:tcW w:w="2520" w:type="dxa"/>
            <w:tcBorders>
              <w:top w:val="single" w:sz="8" w:space="0" w:color="FFFFFF"/>
              <w:left w:val="thinThickSmallGap" w:sz="24" w:space="0" w:color="auto"/>
              <w:bottom w:val="single" w:sz="8" w:space="0" w:color="auto"/>
              <w:right w:val="single" w:sz="8" w:space="0" w:color="FFFFFF"/>
            </w:tcBorders>
            <w:shd w:val="clear" w:color="000000" w:fill="DAEEF3"/>
            <w:vAlign w:val="center"/>
            <w:hideMark/>
          </w:tcPr>
          <w:p w14:paraId="1B7A4B9F"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&gt; 2.0m width</w:t>
            </w:r>
          </w:p>
        </w:tc>
        <w:tc>
          <w:tcPr>
            <w:tcW w:w="1980" w:type="dxa"/>
            <w:tcBorders>
              <w:top w:val="nil"/>
              <w:left w:val="nil"/>
              <w:bottom w:val="single" w:sz="8" w:space="0" w:color="auto"/>
              <w:right w:val="single" w:sz="8" w:space="0" w:color="FFFFFF"/>
            </w:tcBorders>
            <w:shd w:val="clear" w:color="000000" w:fill="DAEEF3"/>
            <w:vAlign w:val="center"/>
            <w:hideMark/>
          </w:tcPr>
          <w:p w14:paraId="3DB3D839"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187.</w:t>
            </w:r>
            <w:r w:rsidR="006F29A2">
              <w:rPr>
                <w:rFonts w:ascii="Arial Narrow" w:hAnsi="Arial Narrow"/>
                <w:color w:val="000000"/>
                <w:szCs w:val="24"/>
                <w:lang w:eastAsia="en-AU"/>
              </w:rPr>
              <w:t>39</w:t>
            </w:r>
          </w:p>
        </w:tc>
        <w:tc>
          <w:tcPr>
            <w:tcW w:w="1980" w:type="dxa"/>
            <w:tcBorders>
              <w:top w:val="nil"/>
              <w:left w:val="nil"/>
              <w:bottom w:val="single" w:sz="8" w:space="0" w:color="auto"/>
              <w:right w:val="single" w:sz="8" w:space="0" w:color="auto"/>
            </w:tcBorders>
            <w:shd w:val="clear" w:color="000000" w:fill="DAEEF3"/>
            <w:vAlign w:val="center"/>
            <w:hideMark/>
          </w:tcPr>
          <w:p w14:paraId="377AC4CB" w14:textId="77777777" w:rsidR="00452489" w:rsidRPr="00452489" w:rsidRDefault="00452489" w:rsidP="00452489">
            <w:pPr>
              <w:spacing w:after="0"/>
              <w:jc w:val="center"/>
              <w:rPr>
                <w:rFonts w:ascii="Arial Narrow" w:hAnsi="Arial Narrow"/>
                <w:color w:val="000000"/>
                <w:szCs w:val="24"/>
                <w:lang w:eastAsia="en-AU"/>
              </w:rPr>
            </w:pPr>
            <w:r w:rsidRPr="00452489">
              <w:rPr>
                <w:rFonts w:ascii="Arial Narrow" w:hAnsi="Arial Narrow"/>
                <w:color w:val="000000"/>
                <w:szCs w:val="24"/>
                <w:lang w:eastAsia="en-AU"/>
              </w:rPr>
              <w:t>46</w:t>
            </w:r>
            <w:r w:rsidR="006F29A2">
              <w:rPr>
                <w:rFonts w:ascii="Arial Narrow" w:hAnsi="Arial Narrow"/>
                <w:color w:val="000000"/>
                <w:szCs w:val="24"/>
                <w:lang w:eastAsia="en-AU"/>
              </w:rPr>
              <w:t>1,407</w:t>
            </w:r>
          </w:p>
        </w:tc>
      </w:tr>
      <w:tr w:rsidR="00452489" w:rsidRPr="00452489" w14:paraId="40981946" w14:textId="77777777" w:rsidTr="00E276A6">
        <w:trPr>
          <w:trHeight w:val="600"/>
        </w:trPr>
        <w:tc>
          <w:tcPr>
            <w:tcW w:w="4660" w:type="dxa"/>
            <w:gridSpan w:val="2"/>
            <w:tcBorders>
              <w:top w:val="single" w:sz="8" w:space="0" w:color="auto"/>
              <w:left w:val="single" w:sz="8" w:space="0" w:color="auto"/>
              <w:bottom w:val="single" w:sz="8" w:space="0" w:color="auto"/>
              <w:right w:val="single" w:sz="8" w:space="0" w:color="FFFFFF"/>
            </w:tcBorders>
            <w:shd w:val="clear" w:color="auto" w:fill="FFFFFF" w:themeFill="background1"/>
            <w:vAlign w:val="center"/>
            <w:hideMark/>
          </w:tcPr>
          <w:p w14:paraId="5561F374" w14:textId="77777777" w:rsidR="00452489" w:rsidRPr="00E12743" w:rsidRDefault="00452489" w:rsidP="00452489">
            <w:pPr>
              <w:spacing w:after="0"/>
              <w:jc w:val="center"/>
              <w:rPr>
                <w:rFonts w:ascii="Arial Narrow" w:hAnsi="Arial Narrow"/>
                <w:b/>
                <w:bCs/>
                <w:szCs w:val="24"/>
                <w:lang w:eastAsia="en-AU"/>
              </w:rPr>
            </w:pPr>
            <w:r w:rsidRPr="00E12743">
              <w:rPr>
                <w:rFonts w:ascii="Arial Narrow" w:hAnsi="Arial Narrow"/>
                <w:b/>
                <w:bCs/>
                <w:szCs w:val="24"/>
                <w:lang w:eastAsia="en-AU"/>
              </w:rPr>
              <w:t>TOTAL</w:t>
            </w:r>
          </w:p>
        </w:tc>
        <w:tc>
          <w:tcPr>
            <w:tcW w:w="1980" w:type="dxa"/>
            <w:tcBorders>
              <w:top w:val="single" w:sz="8" w:space="0" w:color="auto"/>
              <w:left w:val="nil"/>
              <w:bottom w:val="single" w:sz="8" w:space="0" w:color="auto"/>
              <w:right w:val="single" w:sz="8" w:space="0" w:color="FFFFFF"/>
            </w:tcBorders>
            <w:shd w:val="clear" w:color="auto" w:fill="FFFFFF" w:themeFill="background1"/>
            <w:vAlign w:val="center"/>
            <w:hideMark/>
          </w:tcPr>
          <w:p w14:paraId="29C59A0F" w14:textId="77777777" w:rsidR="00452489" w:rsidRPr="00E12743" w:rsidRDefault="00452489" w:rsidP="00452489">
            <w:pPr>
              <w:spacing w:after="0"/>
              <w:jc w:val="center"/>
              <w:rPr>
                <w:rFonts w:ascii="Arial Narrow" w:hAnsi="Arial Narrow"/>
                <w:b/>
                <w:bCs/>
                <w:szCs w:val="24"/>
                <w:lang w:eastAsia="en-AU"/>
              </w:rPr>
            </w:pPr>
            <w:r w:rsidRPr="00E12743">
              <w:rPr>
                <w:rFonts w:ascii="Arial Narrow" w:hAnsi="Arial Narrow"/>
                <w:b/>
                <w:bCs/>
                <w:szCs w:val="24"/>
                <w:lang w:eastAsia="en-AU"/>
              </w:rPr>
              <w:t>73</w:t>
            </w:r>
            <w:r w:rsidR="006313DD" w:rsidRPr="00E12743">
              <w:rPr>
                <w:rFonts w:ascii="Arial Narrow" w:hAnsi="Arial Narrow"/>
                <w:b/>
                <w:bCs/>
                <w:szCs w:val="24"/>
                <w:lang w:eastAsia="en-AU"/>
              </w:rPr>
              <w:t>5</w:t>
            </w:r>
            <w:r w:rsidRPr="00E12743">
              <w:rPr>
                <w:rFonts w:ascii="Arial Narrow" w:hAnsi="Arial Narrow"/>
                <w:b/>
                <w:bCs/>
                <w:szCs w:val="24"/>
                <w:lang w:eastAsia="en-AU"/>
              </w:rPr>
              <w:t>.</w:t>
            </w:r>
            <w:r w:rsidR="006313DD" w:rsidRPr="00E12743">
              <w:rPr>
                <w:rFonts w:ascii="Arial Narrow" w:hAnsi="Arial Narrow"/>
                <w:b/>
                <w:bCs/>
                <w:szCs w:val="24"/>
                <w:lang w:eastAsia="en-AU"/>
              </w:rPr>
              <w:t>92</w:t>
            </w:r>
          </w:p>
        </w:tc>
        <w:tc>
          <w:tcPr>
            <w:tcW w:w="1980" w:type="dxa"/>
            <w:tcBorders>
              <w:top w:val="single" w:sz="8" w:space="0" w:color="auto"/>
              <w:left w:val="nil"/>
              <w:bottom w:val="single" w:sz="8" w:space="0" w:color="auto"/>
              <w:right w:val="single" w:sz="8" w:space="0" w:color="auto"/>
            </w:tcBorders>
            <w:shd w:val="clear" w:color="auto" w:fill="FFFFFF" w:themeFill="background1"/>
            <w:vAlign w:val="center"/>
            <w:hideMark/>
          </w:tcPr>
          <w:p w14:paraId="1CB40107" w14:textId="77777777" w:rsidR="00452489" w:rsidRPr="00E12743" w:rsidRDefault="00452489" w:rsidP="002F447D">
            <w:pPr>
              <w:spacing w:after="0"/>
              <w:jc w:val="center"/>
              <w:rPr>
                <w:rFonts w:ascii="Arial Narrow" w:hAnsi="Arial Narrow"/>
                <w:b/>
                <w:bCs/>
                <w:szCs w:val="24"/>
                <w:lang w:eastAsia="en-AU"/>
              </w:rPr>
            </w:pPr>
            <w:r w:rsidRPr="00E12743">
              <w:rPr>
                <w:rFonts w:ascii="Arial Narrow" w:hAnsi="Arial Narrow"/>
                <w:b/>
                <w:bCs/>
                <w:szCs w:val="24"/>
                <w:lang w:eastAsia="en-AU"/>
              </w:rPr>
              <w:t>1,43</w:t>
            </w:r>
            <w:r w:rsidR="00CF46C9" w:rsidRPr="00E12743">
              <w:rPr>
                <w:rFonts w:ascii="Arial Narrow" w:hAnsi="Arial Narrow"/>
                <w:b/>
                <w:bCs/>
                <w:szCs w:val="24"/>
                <w:lang w:eastAsia="en-AU"/>
              </w:rPr>
              <w:t>2</w:t>
            </w:r>
            <w:r w:rsidRPr="00E12743">
              <w:rPr>
                <w:rFonts w:ascii="Arial Narrow" w:hAnsi="Arial Narrow"/>
                <w:b/>
                <w:bCs/>
                <w:szCs w:val="24"/>
                <w:lang w:eastAsia="en-AU"/>
              </w:rPr>
              <w:t>,4</w:t>
            </w:r>
            <w:r w:rsidR="00CF46C9" w:rsidRPr="00E12743">
              <w:rPr>
                <w:rFonts w:ascii="Arial Narrow" w:hAnsi="Arial Narrow"/>
                <w:b/>
                <w:bCs/>
                <w:szCs w:val="24"/>
                <w:lang w:eastAsia="en-AU"/>
              </w:rPr>
              <w:t>80</w:t>
            </w:r>
          </w:p>
        </w:tc>
      </w:tr>
    </w:tbl>
    <w:p w14:paraId="260E60F5" w14:textId="77777777" w:rsidR="002B4441" w:rsidRPr="00EA6639" w:rsidRDefault="002B4441" w:rsidP="00F06A57">
      <w:pPr>
        <w:pStyle w:val="BodyText"/>
        <w:jc w:val="left"/>
        <w:rPr>
          <w:rFonts w:cs="Arial"/>
          <w:b/>
          <w:i/>
          <w:color w:val="0070C0"/>
          <w:szCs w:val="24"/>
        </w:rPr>
      </w:pPr>
    </w:p>
    <w:p w14:paraId="10AA5845" w14:textId="77777777" w:rsidR="009E537C" w:rsidRPr="00151933" w:rsidRDefault="009E537C" w:rsidP="00D244A4">
      <w:pPr>
        <w:rPr>
          <w:szCs w:val="24"/>
        </w:rPr>
      </w:pPr>
      <w:r w:rsidRPr="00151933">
        <w:rPr>
          <w:szCs w:val="24"/>
        </w:rPr>
        <w:t>The AMP is to be read in conjunction with the following associated planning documents:</w:t>
      </w:r>
    </w:p>
    <w:p w14:paraId="72090A8F" w14:textId="77777777" w:rsidR="00FD0892" w:rsidRDefault="009E537C" w:rsidP="00FD0892">
      <w:pPr>
        <w:spacing w:line="240" w:lineRule="auto"/>
      </w:pPr>
      <w:r>
        <w:tab/>
      </w:r>
      <w:r w:rsidRPr="008C115B">
        <w:t>City of Cockburn Strategic Community Plan 2020 – 2030</w:t>
      </w:r>
      <w:r w:rsidRPr="008C115B">
        <w:tab/>
      </w:r>
    </w:p>
    <w:p w14:paraId="5FE6F254" w14:textId="77777777" w:rsidR="009E537C" w:rsidRPr="008C115B" w:rsidRDefault="00FD0892" w:rsidP="00FD0892">
      <w:pPr>
        <w:spacing w:line="240" w:lineRule="auto"/>
      </w:pPr>
      <w:r>
        <w:tab/>
      </w:r>
      <w:r w:rsidR="009E537C" w:rsidRPr="008C115B">
        <w:t>City of Cockburn Corporate Business Plan 2016/17 – 2019/20</w:t>
      </w:r>
    </w:p>
    <w:p w14:paraId="39EB6D63" w14:textId="77777777" w:rsidR="009E537C" w:rsidRPr="008C115B" w:rsidRDefault="009E537C" w:rsidP="00FD0892">
      <w:pPr>
        <w:spacing w:line="240" w:lineRule="auto"/>
      </w:pPr>
      <w:r w:rsidRPr="008C115B">
        <w:tab/>
        <w:t>City of Cockburn Annual Business Plan 2019 – 2020</w:t>
      </w:r>
    </w:p>
    <w:p w14:paraId="17D045E2" w14:textId="77777777" w:rsidR="009E537C" w:rsidRDefault="009E537C" w:rsidP="00FD0892">
      <w:pPr>
        <w:spacing w:line="240" w:lineRule="auto"/>
      </w:pPr>
      <w:r w:rsidRPr="008C115B">
        <w:tab/>
        <w:t>City of Cockburn Long Term Financial Management Plan 20</w:t>
      </w:r>
      <w:r>
        <w:t>20</w:t>
      </w:r>
      <w:r w:rsidRPr="008C115B">
        <w:t>/2</w:t>
      </w:r>
      <w:r>
        <w:t>1</w:t>
      </w:r>
      <w:r w:rsidRPr="008C115B">
        <w:t xml:space="preserve"> – 20</w:t>
      </w:r>
      <w:r>
        <w:t>29</w:t>
      </w:r>
      <w:r w:rsidRPr="008C115B">
        <w:t>/3</w:t>
      </w:r>
      <w:r>
        <w:t>0</w:t>
      </w:r>
    </w:p>
    <w:p w14:paraId="2C15BD8E" w14:textId="77777777" w:rsidR="00FD0892" w:rsidRDefault="00FD0892" w:rsidP="00181D58"/>
    <w:p w14:paraId="5915AAE1" w14:textId="77777777" w:rsidR="009E537C" w:rsidRDefault="009E537C" w:rsidP="00181D58">
      <w:r w:rsidRPr="00151933">
        <w:lastRenderedPageBreak/>
        <w:t>Key stakeholders in the preparation and implementation of this asset management plan are shown in Table 2.1.2</w:t>
      </w:r>
      <w:r>
        <w:t>.</w:t>
      </w:r>
    </w:p>
    <w:p w14:paraId="2F495FB8" w14:textId="77777777" w:rsidR="00FE4498" w:rsidRPr="00140CAE" w:rsidRDefault="00FE4498" w:rsidP="00616E47">
      <w:pPr>
        <w:keepNext/>
        <w:rPr>
          <w:b/>
          <w:iCs/>
          <w:color w:val="0070C0"/>
          <w:szCs w:val="22"/>
        </w:rPr>
      </w:pPr>
      <w:r w:rsidRPr="00140CAE">
        <w:rPr>
          <w:b/>
          <w:iCs/>
          <w:color w:val="0070C0"/>
          <w:szCs w:val="22"/>
        </w:rPr>
        <w:t>Table 2.1.2</w:t>
      </w:r>
      <w:r w:rsidRPr="00140CAE">
        <w:rPr>
          <w:b/>
          <w:iCs/>
          <w:color w:val="0070C0"/>
          <w:szCs w:val="22"/>
        </w:rPr>
        <w:tab/>
        <w:t>Key Stakeholders in the AM Plan</w:t>
      </w:r>
    </w:p>
    <w:tbl>
      <w:tblPr>
        <w:tblStyle w:val="MediumList2-Accent5"/>
        <w:tblW w:w="5000" w:type="pct"/>
        <w:tblLook w:val="04A0" w:firstRow="1" w:lastRow="0" w:firstColumn="1" w:lastColumn="0" w:noHBand="0" w:noVBand="1"/>
      </w:tblPr>
      <w:tblGrid>
        <w:gridCol w:w="4387"/>
        <w:gridCol w:w="4856"/>
      </w:tblGrid>
      <w:tr w:rsidR="001A0AA6" w:rsidRPr="00763E8F" w14:paraId="752E3E56" w14:textId="77777777" w:rsidTr="00CD6442">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2373" w:type="pct"/>
            <w:tcBorders>
              <w:top w:val="single" w:sz="12" w:space="0" w:color="auto"/>
              <w:left w:val="single" w:sz="12" w:space="0" w:color="auto"/>
              <w:bottom w:val="thinThickSmallGap" w:sz="24" w:space="0" w:color="auto"/>
              <w:right w:val="single" w:sz="8" w:space="0" w:color="FFFFFF" w:themeColor="background1"/>
            </w:tcBorders>
            <w:shd w:val="clear" w:color="auto" w:fill="4BACC6" w:themeFill="accent5"/>
            <w:hideMark/>
          </w:tcPr>
          <w:p w14:paraId="2CE9D17D" w14:textId="77777777" w:rsidR="00763E8F" w:rsidRPr="001A0AA6" w:rsidRDefault="00763E8F" w:rsidP="00763E8F">
            <w:pPr>
              <w:spacing w:after="0"/>
              <w:jc w:val="left"/>
              <w:rPr>
                <w:rFonts w:ascii="Arial Narrow" w:hAnsi="Arial Narrow"/>
                <w:b/>
                <w:bCs/>
                <w:color w:val="FFFFFF" w:themeColor="background1"/>
                <w:lang w:eastAsia="en-AU"/>
              </w:rPr>
            </w:pPr>
            <w:r w:rsidRPr="001A0AA6">
              <w:rPr>
                <w:rFonts w:ascii="Arial Narrow" w:hAnsi="Arial Narrow"/>
                <w:b/>
                <w:bCs/>
                <w:color w:val="FFFFFF" w:themeColor="background1"/>
                <w:lang w:eastAsia="en-AU"/>
              </w:rPr>
              <w:t>ENTITY</w:t>
            </w:r>
            <w:r w:rsidRPr="001A0AA6">
              <w:rPr>
                <w:rFonts w:ascii="Arial Narrow" w:hAnsi="Arial Narrow"/>
                <w:color w:val="FFFFFF" w:themeColor="background1"/>
                <w:lang w:eastAsia="en-AU"/>
              </w:rPr>
              <w:t>:</w:t>
            </w:r>
          </w:p>
        </w:tc>
        <w:tc>
          <w:tcPr>
            <w:tcW w:w="2627" w:type="pct"/>
            <w:tcBorders>
              <w:top w:val="single" w:sz="12" w:space="0" w:color="auto"/>
              <w:left w:val="single" w:sz="8" w:space="0" w:color="FFFFFF" w:themeColor="background1"/>
              <w:bottom w:val="thinThickSmallGap" w:sz="24" w:space="0" w:color="auto"/>
              <w:right w:val="single" w:sz="12" w:space="0" w:color="auto"/>
            </w:tcBorders>
            <w:shd w:val="clear" w:color="auto" w:fill="4BACC6" w:themeFill="accent5"/>
            <w:hideMark/>
          </w:tcPr>
          <w:p w14:paraId="2116725E" w14:textId="77777777" w:rsidR="00763E8F" w:rsidRPr="001A0AA6" w:rsidRDefault="00763E8F" w:rsidP="00763E8F">
            <w:pPr>
              <w:spacing w:after="0"/>
              <w:jc w:val="left"/>
              <w:cnfStyle w:val="100000000000" w:firstRow="1" w:lastRow="0" w:firstColumn="0" w:lastColumn="0" w:oddVBand="0" w:evenVBand="0" w:oddHBand="0" w:evenHBand="0" w:firstRowFirstColumn="0" w:firstRowLastColumn="0" w:lastRowFirstColumn="0" w:lastRowLastColumn="0"/>
              <w:rPr>
                <w:rFonts w:ascii="Arial Narrow" w:hAnsi="Arial Narrow"/>
                <w:b/>
                <w:bCs/>
                <w:color w:val="FFFFFF" w:themeColor="background1"/>
                <w:lang w:eastAsia="en-AU"/>
              </w:rPr>
            </w:pPr>
            <w:r w:rsidRPr="001A0AA6">
              <w:rPr>
                <w:rFonts w:ascii="Arial Narrow" w:hAnsi="Arial Narrow"/>
                <w:b/>
                <w:bCs/>
                <w:color w:val="FFFFFF" w:themeColor="background1"/>
                <w:lang w:eastAsia="en-AU"/>
              </w:rPr>
              <w:t>NATURE OF INVOLEMENT</w:t>
            </w:r>
          </w:p>
        </w:tc>
      </w:tr>
      <w:tr w:rsidR="00763E8F" w:rsidRPr="00763E8F" w14:paraId="1CECEA98" w14:textId="77777777" w:rsidTr="001A0A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thinThickSmallGap" w:sz="24" w:space="0" w:color="auto"/>
              <w:left w:val="single" w:sz="12" w:space="0" w:color="auto"/>
              <w:bottom w:val="single" w:sz="8" w:space="0" w:color="FFFFFF" w:themeColor="background1"/>
              <w:right w:val="thinThickSmallGap" w:sz="24" w:space="0" w:color="auto"/>
            </w:tcBorders>
            <w:shd w:val="clear" w:color="auto" w:fill="B6DDE8" w:themeFill="accent5" w:themeFillTint="66"/>
            <w:hideMark/>
          </w:tcPr>
          <w:p w14:paraId="0A1A604F" w14:textId="77777777" w:rsidR="00763E8F" w:rsidRPr="00763E8F" w:rsidRDefault="00763E8F" w:rsidP="00763E8F">
            <w:pPr>
              <w:spacing w:after="0"/>
              <w:jc w:val="left"/>
              <w:rPr>
                <w:rFonts w:ascii="Arial Narrow" w:hAnsi="Arial Narrow"/>
                <w:b/>
                <w:bCs/>
                <w:szCs w:val="24"/>
                <w:u w:val="single"/>
                <w:lang w:eastAsia="en-AU"/>
              </w:rPr>
            </w:pPr>
            <w:r w:rsidRPr="00763E8F">
              <w:rPr>
                <w:rFonts w:ascii="Arial Narrow" w:hAnsi="Arial Narrow"/>
                <w:b/>
                <w:bCs/>
                <w:szCs w:val="24"/>
                <w:u w:val="single"/>
                <w:lang w:eastAsia="en-AU"/>
              </w:rPr>
              <w:t>INTERNAL STAKEHOLDERS:</w:t>
            </w:r>
          </w:p>
        </w:tc>
        <w:tc>
          <w:tcPr>
            <w:tcW w:w="2627" w:type="pct"/>
            <w:tcBorders>
              <w:top w:val="thinThickSmallGap" w:sz="24" w:space="0" w:color="auto"/>
              <w:left w:val="thinThickSmallGap" w:sz="24" w:space="0" w:color="auto"/>
              <w:bottom w:val="single" w:sz="8" w:space="0" w:color="FFFFFF" w:themeColor="background1"/>
              <w:right w:val="single" w:sz="12" w:space="0" w:color="auto"/>
            </w:tcBorders>
            <w:hideMark/>
          </w:tcPr>
          <w:p w14:paraId="30ED5BF1"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 </w:t>
            </w:r>
          </w:p>
        </w:tc>
      </w:tr>
      <w:tr w:rsidR="00763E8F" w:rsidRPr="00763E8F" w14:paraId="40A04054" w14:textId="77777777" w:rsidTr="00507950">
        <w:trPr>
          <w:trHeight w:val="480"/>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47F08BFB"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The Elected Council</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7236EFF3"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Community representation</w:t>
            </w:r>
          </w:p>
        </w:tc>
      </w:tr>
      <w:tr w:rsidR="00763E8F" w:rsidRPr="00763E8F" w14:paraId="2551D89A" w14:textId="77777777" w:rsidTr="001A0AA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5ED0A484"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Chief Executive Officer</w:t>
            </w:r>
            <w:r w:rsidR="005D3DCD">
              <w:rPr>
                <w:rFonts w:ascii="Arial Narrow" w:hAnsi="Arial Narrow"/>
                <w:color w:val="000000"/>
                <w:szCs w:val="24"/>
                <w:lang w:eastAsia="en-AU"/>
              </w:rPr>
              <w:t xml:space="preserve"> (CEO)</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0544392B"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Asset management direction and leadership</w:t>
            </w:r>
          </w:p>
        </w:tc>
      </w:tr>
      <w:tr w:rsidR="00763E8F" w:rsidRPr="00763E8F" w14:paraId="2FCEC209" w14:textId="77777777" w:rsidTr="00507950">
        <w:trPr>
          <w:trHeight w:val="630"/>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4FEF4557" w14:textId="77777777" w:rsidR="00763E8F" w:rsidRPr="00763E8F" w:rsidRDefault="005D3DCD" w:rsidP="00763E8F">
            <w:pPr>
              <w:spacing w:after="0"/>
              <w:jc w:val="left"/>
              <w:rPr>
                <w:rFonts w:ascii="Arial Narrow" w:hAnsi="Arial Narrow"/>
                <w:color w:val="000000"/>
                <w:szCs w:val="24"/>
                <w:lang w:eastAsia="en-AU"/>
              </w:rPr>
            </w:pPr>
            <w:r>
              <w:rPr>
                <w:rFonts w:ascii="Arial Narrow" w:hAnsi="Arial Narrow"/>
                <w:color w:val="000000"/>
                <w:szCs w:val="24"/>
                <w:lang w:eastAsia="en-AU"/>
              </w:rPr>
              <w:t>Executive Committee (ExCo)</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2943F9B1"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Executive management endorsement, sign off and executive ownership</w:t>
            </w:r>
          </w:p>
        </w:tc>
      </w:tr>
      <w:tr w:rsidR="00763E8F" w:rsidRPr="00763E8F" w14:paraId="6F63A198" w14:textId="77777777" w:rsidTr="005D3DC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29F698BB"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 xml:space="preserve">Manager </w:t>
            </w:r>
            <w:r w:rsidR="00711618" w:rsidRPr="00711618">
              <w:rPr>
                <w:rFonts w:ascii="Arial Narrow" w:hAnsi="Arial Narrow"/>
                <w:color w:val="000000"/>
                <w:szCs w:val="24"/>
                <w:lang w:eastAsia="en-AU"/>
              </w:rPr>
              <w:t>Property and Assets</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744E0004"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 xml:space="preserve">Review and strategic management sign off </w:t>
            </w:r>
          </w:p>
        </w:tc>
      </w:tr>
      <w:tr w:rsidR="00763E8F" w:rsidRPr="00763E8F" w14:paraId="2484FB23" w14:textId="77777777" w:rsidTr="00711618">
        <w:trPr>
          <w:trHeight w:val="663"/>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5C3B4611"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 xml:space="preserve">Manager </w:t>
            </w:r>
            <w:r w:rsidR="00711618">
              <w:rPr>
                <w:rFonts w:ascii="Arial Narrow" w:hAnsi="Arial Narrow"/>
                <w:color w:val="000000"/>
                <w:szCs w:val="24"/>
                <w:lang w:eastAsia="en-AU"/>
              </w:rPr>
              <w:t>Civil Infrastructure</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68FBF222"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Review and line management sign off and implementation</w:t>
            </w:r>
            <w:r w:rsidR="00FD0892">
              <w:rPr>
                <w:rFonts w:ascii="Arial Narrow" w:hAnsi="Arial Narrow"/>
                <w:color w:val="000000"/>
                <w:szCs w:val="24"/>
                <w:lang w:eastAsia="en-AU"/>
              </w:rPr>
              <w:t xml:space="preserve"> of the AMP maintenance actions</w:t>
            </w:r>
            <w:r w:rsidRPr="00763E8F">
              <w:rPr>
                <w:rFonts w:ascii="Arial Narrow" w:hAnsi="Arial Narrow"/>
                <w:color w:val="000000"/>
                <w:szCs w:val="24"/>
                <w:lang w:eastAsia="en-AU"/>
              </w:rPr>
              <w:t xml:space="preserve">. </w:t>
            </w:r>
          </w:p>
        </w:tc>
      </w:tr>
      <w:tr w:rsidR="00763E8F" w:rsidRPr="00763E8F" w14:paraId="734C344C" w14:textId="77777777" w:rsidTr="001A0AA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1CA34010" w14:textId="77777777" w:rsidR="00763E8F" w:rsidRPr="00763E8F" w:rsidRDefault="00711618" w:rsidP="00763E8F">
            <w:pPr>
              <w:spacing w:after="0"/>
              <w:jc w:val="left"/>
              <w:rPr>
                <w:rFonts w:ascii="Arial Narrow" w:hAnsi="Arial Narrow"/>
                <w:color w:val="000000"/>
                <w:szCs w:val="24"/>
                <w:lang w:eastAsia="en-AU"/>
              </w:rPr>
            </w:pPr>
            <w:r w:rsidRPr="00711618">
              <w:rPr>
                <w:rFonts w:ascii="Arial Narrow" w:hAnsi="Arial Narrow"/>
                <w:color w:val="000000"/>
                <w:szCs w:val="24"/>
                <w:lang w:eastAsia="en-AU"/>
              </w:rPr>
              <w:t>Property and Assets</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3DDD7131"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Asset management plan development, review and continuous improvement</w:t>
            </w:r>
          </w:p>
        </w:tc>
      </w:tr>
      <w:tr w:rsidR="00763E8F" w:rsidRPr="00763E8F" w14:paraId="31A358D3" w14:textId="77777777" w:rsidTr="00507950">
        <w:trPr>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4D7F3D19" w14:textId="77777777" w:rsidR="00763E8F" w:rsidRPr="00763E8F" w:rsidRDefault="00763E8F" w:rsidP="00763E8F">
            <w:pPr>
              <w:spacing w:after="0"/>
              <w:jc w:val="left"/>
              <w:rPr>
                <w:rFonts w:ascii="Arial Narrow" w:hAnsi="Arial Narrow"/>
                <w:b/>
                <w:bCs/>
                <w:szCs w:val="24"/>
                <w:u w:val="single"/>
                <w:lang w:eastAsia="en-AU"/>
              </w:rPr>
            </w:pPr>
            <w:r w:rsidRPr="00763E8F">
              <w:rPr>
                <w:rFonts w:ascii="Arial Narrow" w:hAnsi="Arial Narrow"/>
                <w:b/>
                <w:bCs/>
                <w:szCs w:val="24"/>
                <w:u w:val="single"/>
                <w:lang w:eastAsia="en-AU"/>
              </w:rPr>
              <w:t>EXTERNAL STAKEHOLDERS:</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2557BABB"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 </w:t>
            </w:r>
          </w:p>
        </w:tc>
      </w:tr>
      <w:tr w:rsidR="00763E8F" w:rsidRPr="00763E8F" w14:paraId="432ED0F2" w14:textId="77777777" w:rsidTr="001A0AA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629355AA"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Insurers</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494A51BE"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Assist to manage financial risk of the City</w:t>
            </w:r>
          </w:p>
        </w:tc>
      </w:tr>
      <w:tr w:rsidR="00763E8F" w:rsidRPr="00763E8F" w14:paraId="1B1A113A" w14:textId="77777777" w:rsidTr="00507950">
        <w:trPr>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7612B578" w14:textId="77777777" w:rsidR="00763E8F" w:rsidRPr="00763E8F" w:rsidRDefault="00763E8F" w:rsidP="00763E8F">
            <w:pPr>
              <w:spacing w:after="0"/>
              <w:jc w:val="left"/>
              <w:rPr>
                <w:rFonts w:ascii="Arial Narrow" w:hAnsi="Arial Narrow"/>
                <w:szCs w:val="24"/>
                <w:lang w:eastAsia="en-AU"/>
              </w:rPr>
            </w:pPr>
            <w:r w:rsidRPr="00763E8F">
              <w:rPr>
                <w:rFonts w:ascii="Arial Narrow" w:hAnsi="Arial Narrow"/>
                <w:szCs w:val="24"/>
                <w:lang w:eastAsia="en-AU"/>
              </w:rPr>
              <w:t>City of Cockburn community</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46C8A977"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Footpath and service users</w:t>
            </w:r>
          </w:p>
        </w:tc>
      </w:tr>
      <w:tr w:rsidR="00763E8F" w:rsidRPr="00763E8F" w14:paraId="22DFC840" w14:textId="77777777" w:rsidTr="001A0A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52138D20" w14:textId="77777777" w:rsidR="00763E8F" w:rsidRPr="00763E8F" w:rsidRDefault="00763E8F" w:rsidP="00763E8F">
            <w:pPr>
              <w:spacing w:after="0"/>
              <w:jc w:val="left"/>
              <w:rPr>
                <w:rFonts w:ascii="Arial Narrow" w:hAnsi="Arial Narrow"/>
                <w:szCs w:val="24"/>
                <w:lang w:eastAsia="en-AU"/>
              </w:rPr>
            </w:pPr>
            <w:r w:rsidRPr="00763E8F">
              <w:rPr>
                <w:rFonts w:ascii="Arial Narrow" w:hAnsi="Arial Narrow"/>
                <w:szCs w:val="24"/>
                <w:lang w:eastAsia="en-AU"/>
              </w:rPr>
              <w:t>City of Cockburn Businesses</w:t>
            </w:r>
          </w:p>
        </w:tc>
        <w:tc>
          <w:tcPr>
            <w:tcW w:w="2627" w:type="pc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5319E129"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Footpath and service users</w:t>
            </w:r>
          </w:p>
        </w:tc>
      </w:tr>
      <w:tr w:rsidR="00763E8F" w:rsidRPr="00763E8F" w14:paraId="01F31823" w14:textId="77777777" w:rsidTr="00507950">
        <w:trPr>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hideMark/>
          </w:tcPr>
          <w:p w14:paraId="7E11F75E"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Government Agencies</w:t>
            </w:r>
          </w:p>
        </w:tc>
        <w:tc>
          <w:tcPr>
            <w:tcW w:w="2627" w:type="pct"/>
            <w:vMerge w:val="restart"/>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124BD33A"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r w:rsidRPr="00763E8F">
              <w:rPr>
                <w:rFonts w:ascii="Arial Narrow" w:hAnsi="Arial Narrow"/>
                <w:color w:val="000000"/>
                <w:szCs w:val="24"/>
                <w:lang w:eastAsia="en-AU"/>
              </w:rPr>
              <w:t xml:space="preserve">Attend emergencies, </w:t>
            </w:r>
            <w:proofErr w:type="gramStart"/>
            <w:r w:rsidRPr="00763E8F">
              <w:rPr>
                <w:rFonts w:ascii="Arial Narrow" w:hAnsi="Arial Narrow"/>
                <w:color w:val="000000"/>
                <w:szCs w:val="24"/>
                <w:lang w:eastAsia="en-AU"/>
              </w:rPr>
              <w:t>provide assistance</w:t>
            </w:r>
            <w:proofErr w:type="gramEnd"/>
            <w:r w:rsidRPr="00763E8F">
              <w:rPr>
                <w:rFonts w:ascii="Arial Narrow" w:hAnsi="Arial Narrow"/>
                <w:color w:val="000000"/>
                <w:szCs w:val="24"/>
                <w:lang w:eastAsia="en-AU"/>
              </w:rPr>
              <w:t xml:space="preserve"> and security</w:t>
            </w:r>
          </w:p>
        </w:tc>
      </w:tr>
      <w:tr w:rsidR="00763E8F" w:rsidRPr="00763E8F" w14:paraId="7F6A8E66" w14:textId="77777777" w:rsidTr="001A0A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8" w:space="0" w:color="FFFFFF" w:themeColor="background1"/>
              <w:right w:val="thinThickSmallGap" w:sz="24" w:space="0" w:color="auto"/>
            </w:tcBorders>
            <w:shd w:val="clear" w:color="auto" w:fill="B6DDE8" w:themeFill="accent5" w:themeFillTint="66"/>
            <w:hideMark/>
          </w:tcPr>
          <w:p w14:paraId="65F1B5CD"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Department of Transport</w:t>
            </w:r>
          </w:p>
        </w:tc>
        <w:tc>
          <w:tcPr>
            <w:tcW w:w="2627" w:type="pct"/>
            <w:vMerge/>
            <w:tcBorders>
              <w:top w:val="single" w:sz="8" w:space="0" w:color="FFFFFF" w:themeColor="background1"/>
              <w:left w:val="thinThickSmallGap" w:sz="24" w:space="0" w:color="auto"/>
              <w:bottom w:val="single" w:sz="8" w:space="0" w:color="FFFFFF" w:themeColor="background1"/>
              <w:right w:val="single" w:sz="12" w:space="0" w:color="auto"/>
            </w:tcBorders>
            <w:hideMark/>
          </w:tcPr>
          <w:p w14:paraId="04D8776F" w14:textId="77777777" w:rsidR="00763E8F" w:rsidRPr="00763E8F" w:rsidRDefault="00763E8F" w:rsidP="00763E8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lang w:eastAsia="en-AU"/>
              </w:rPr>
            </w:pPr>
          </w:p>
        </w:tc>
      </w:tr>
      <w:tr w:rsidR="00763E8F" w:rsidRPr="00763E8F" w14:paraId="1FD4F0DC" w14:textId="77777777" w:rsidTr="00507950">
        <w:trPr>
          <w:trHeight w:val="330"/>
        </w:trPr>
        <w:tc>
          <w:tcPr>
            <w:cnfStyle w:val="001000000000" w:firstRow="0" w:lastRow="0" w:firstColumn="1" w:lastColumn="0" w:oddVBand="0" w:evenVBand="0" w:oddHBand="0" w:evenHBand="0" w:firstRowFirstColumn="0" w:firstRowLastColumn="0" w:lastRowFirstColumn="0" w:lastRowLastColumn="0"/>
            <w:tcW w:w="2373" w:type="pct"/>
            <w:tcBorders>
              <w:top w:val="single" w:sz="8" w:space="0" w:color="FFFFFF" w:themeColor="background1"/>
              <w:left w:val="single" w:sz="12" w:space="0" w:color="auto"/>
              <w:bottom w:val="single" w:sz="12" w:space="0" w:color="auto"/>
              <w:right w:val="thinThickSmallGap" w:sz="24" w:space="0" w:color="auto"/>
            </w:tcBorders>
            <w:hideMark/>
          </w:tcPr>
          <w:p w14:paraId="35E5DE49" w14:textId="77777777" w:rsidR="00763E8F" w:rsidRPr="00763E8F" w:rsidRDefault="00763E8F" w:rsidP="00763E8F">
            <w:pPr>
              <w:spacing w:after="0"/>
              <w:jc w:val="left"/>
              <w:rPr>
                <w:rFonts w:ascii="Arial Narrow" w:hAnsi="Arial Narrow"/>
                <w:color w:val="000000"/>
                <w:szCs w:val="24"/>
                <w:lang w:eastAsia="en-AU"/>
              </w:rPr>
            </w:pPr>
            <w:r w:rsidRPr="00763E8F">
              <w:rPr>
                <w:rFonts w:ascii="Arial Narrow" w:hAnsi="Arial Narrow"/>
                <w:color w:val="000000"/>
                <w:szCs w:val="24"/>
                <w:lang w:eastAsia="en-AU"/>
              </w:rPr>
              <w:t>Department of Lands</w:t>
            </w:r>
          </w:p>
        </w:tc>
        <w:tc>
          <w:tcPr>
            <w:tcW w:w="2627" w:type="pct"/>
            <w:vMerge/>
            <w:tcBorders>
              <w:top w:val="single" w:sz="8" w:space="0" w:color="FFFFFF" w:themeColor="background1"/>
              <w:left w:val="thinThickSmallGap" w:sz="24" w:space="0" w:color="auto"/>
              <w:bottom w:val="single" w:sz="12" w:space="0" w:color="auto"/>
              <w:right w:val="single" w:sz="12" w:space="0" w:color="auto"/>
            </w:tcBorders>
            <w:hideMark/>
          </w:tcPr>
          <w:p w14:paraId="4E8D5A7B" w14:textId="77777777" w:rsidR="00763E8F" w:rsidRPr="00763E8F" w:rsidRDefault="00763E8F" w:rsidP="00763E8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lang w:eastAsia="en-AU"/>
              </w:rPr>
            </w:pPr>
          </w:p>
        </w:tc>
      </w:tr>
    </w:tbl>
    <w:p w14:paraId="4728E909" w14:textId="77777777" w:rsidR="009A2164" w:rsidRDefault="009A2164" w:rsidP="00AA1209">
      <w:pPr>
        <w:pStyle w:val="BodyText"/>
        <w:rPr>
          <w:rFonts w:cs="Arial"/>
          <w:szCs w:val="24"/>
        </w:rPr>
      </w:pPr>
    </w:p>
    <w:p w14:paraId="0780D231" w14:textId="77777777" w:rsidR="001447D6" w:rsidRPr="00140CAE" w:rsidRDefault="00F371CE" w:rsidP="00140CAE">
      <w:pPr>
        <w:pStyle w:val="Heading2"/>
      </w:pPr>
      <w:bookmarkStart w:id="6" w:name="_Toc56419051"/>
      <w:r w:rsidRPr="00140CAE">
        <w:t>2.2</w:t>
      </w:r>
      <w:r w:rsidRPr="00140CAE">
        <w:tab/>
      </w:r>
      <w:r w:rsidR="001447D6" w:rsidRPr="00140CAE">
        <w:t>Goals and Objectives of Asset Management</w:t>
      </w:r>
      <w:bookmarkEnd w:id="6"/>
    </w:p>
    <w:p w14:paraId="740C660F" w14:textId="77777777" w:rsidR="007862F4" w:rsidRPr="00BA6ABB" w:rsidRDefault="007862F4" w:rsidP="0049059B">
      <w:r w:rsidRPr="00BA6ABB">
        <w:t>The City of Cockburn exists to deliver services to its community supported by the City’s infrastructure assets. The City acquires infrastructure assets by ‘purchase’, ‘contract’, construction by council and by handover of ‘donated’ assets constructed by developers in order to meet the increased demand for services.</w:t>
      </w:r>
    </w:p>
    <w:p w14:paraId="1AB43980" w14:textId="77777777" w:rsidR="008C7856" w:rsidRPr="00BA6ABB" w:rsidRDefault="008C7856" w:rsidP="0049059B">
      <w:r w:rsidRPr="00BA6ABB">
        <w:t>The City of Cockburn’s goal in managing infrastructure assets is to meet the required level of service in the most cost effective manner for present and future consumers.</w:t>
      </w:r>
    </w:p>
    <w:p w14:paraId="0F0E9448" w14:textId="77777777" w:rsidR="008C7856" w:rsidRPr="00BA6ABB" w:rsidRDefault="008C7856" w:rsidP="0049059B">
      <w:r w:rsidRPr="00BA6ABB">
        <w:t>The key elements of infrastructure asset management are:</w:t>
      </w:r>
    </w:p>
    <w:p w14:paraId="3D5B4B26" w14:textId="77777777" w:rsidR="008C7856" w:rsidRPr="00BA6ABB" w:rsidRDefault="008C7856" w:rsidP="0049059B">
      <w:pPr>
        <w:pStyle w:val="ListParagraph"/>
        <w:numPr>
          <w:ilvl w:val="0"/>
          <w:numId w:val="37"/>
        </w:numPr>
      </w:pPr>
      <w:r w:rsidRPr="00BA6ABB">
        <w:t>Taking a life cycle approach,</w:t>
      </w:r>
    </w:p>
    <w:p w14:paraId="725EC519" w14:textId="77777777" w:rsidR="008C7856" w:rsidRPr="00BA6ABB" w:rsidRDefault="008C7856" w:rsidP="0049059B">
      <w:pPr>
        <w:pStyle w:val="ListParagraph"/>
        <w:numPr>
          <w:ilvl w:val="0"/>
          <w:numId w:val="37"/>
        </w:numPr>
      </w:pPr>
      <w:r w:rsidRPr="00BA6ABB">
        <w:t>Developing cost-effective management strategies for the long term,</w:t>
      </w:r>
    </w:p>
    <w:p w14:paraId="38BC372F" w14:textId="77777777" w:rsidR="008C7856" w:rsidRPr="00BA6ABB" w:rsidRDefault="008C7856" w:rsidP="0049059B">
      <w:pPr>
        <w:pStyle w:val="ListParagraph"/>
        <w:numPr>
          <w:ilvl w:val="0"/>
          <w:numId w:val="37"/>
        </w:numPr>
      </w:pPr>
      <w:r w:rsidRPr="00BA6ABB">
        <w:t>Providing a defined level of service and monitoring performance,</w:t>
      </w:r>
    </w:p>
    <w:p w14:paraId="279DDD84" w14:textId="77777777" w:rsidR="008C7856" w:rsidRPr="00BA6ABB" w:rsidRDefault="008C7856" w:rsidP="0049059B">
      <w:pPr>
        <w:pStyle w:val="ListParagraph"/>
        <w:numPr>
          <w:ilvl w:val="0"/>
          <w:numId w:val="37"/>
        </w:numPr>
      </w:pPr>
      <w:r w:rsidRPr="00BA6ABB">
        <w:t>Understanding and meeting the demands of growth through demand management and infrastructure investment,</w:t>
      </w:r>
    </w:p>
    <w:p w14:paraId="6E47E9D1" w14:textId="77777777" w:rsidR="008C7856" w:rsidRPr="00BA6ABB" w:rsidRDefault="008C7856" w:rsidP="0049059B">
      <w:pPr>
        <w:pStyle w:val="ListParagraph"/>
        <w:numPr>
          <w:ilvl w:val="0"/>
          <w:numId w:val="37"/>
        </w:numPr>
      </w:pPr>
      <w:r w:rsidRPr="00BA6ABB">
        <w:lastRenderedPageBreak/>
        <w:t>Managing risks associated with asset failures,</w:t>
      </w:r>
    </w:p>
    <w:p w14:paraId="57E1E119" w14:textId="77777777" w:rsidR="008C7856" w:rsidRPr="00BA6ABB" w:rsidRDefault="008C7856" w:rsidP="0049059B">
      <w:pPr>
        <w:pStyle w:val="ListParagraph"/>
        <w:numPr>
          <w:ilvl w:val="0"/>
          <w:numId w:val="37"/>
        </w:numPr>
      </w:pPr>
      <w:r w:rsidRPr="00BA6ABB">
        <w:t>Sustainable use of physical and financial resources, and</w:t>
      </w:r>
    </w:p>
    <w:p w14:paraId="0F8564C3" w14:textId="77777777" w:rsidR="008C7856" w:rsidRPr="00BA6ABB" w:rsidRDefault="008C7856" w:rsidP="0049059B">
      <w:pPr>
        <w:pStyle w:val="ListParagraph"/>
        <w:numPr>
          <w:ilvl w:val="0"/>
          <w:numId w:val="37"/>
        </w:numPr>
      </w:pPr>
      <w:r w:rsidRPr="00BA6ABB">
        <w:t>Continuous improvement in asset management practices.</w:t>
      </w:r>
    </w:p>
    <w:p w14:paraId="0B7736CE" w14:textId="77777777" w:rsidR="00D30306" w:rsidRPr="00EA6639" w:rsidRDefault="00D30306" w:rsidP="003335D9">
      <w:pPr>
        <w:pStyle w:val="BodyText"/>
        <w:spacing w:after="120"/>
        <w:rPr>
          <w:rFonts w:cs="Arial"/>
          <w:szCs w:val="24"/>
        </w:rPr>
      </w:pPr>
    </w:p>
    <w:p w14:paraId="777E2585" w14:textId="77777777" w:rsidR="00231110" w:rsidRDefault="00231110" w:rsidP="00135C53">
      <w:r w:rsidRPr="00BA6ABB">
        <w:t>This AMP is prepared under the direction of Council’s vision, mission, goals and objectives.</w:t>
      </w:r>
    </w:p>
    <w:p w14:paraId="3D72515C" w14:textId="77777777" w:rsidR="00691DEC" w:rsidRDefault="00691DEC" w:rsidP="00691DEC">
      <w:pPr>
        <w:pStyle w:val="BodyText"/>
        <w:spacing w:after="120"/>
        <w:rPr>
          <w:rStyle w:val="IntenseEmphasis"/>
          <w:b w:val="0"/>
          <w:i w:val="0"/>
          <w:color w:val="auto"/>
          <w:szCs w:val="24"/>
        </w:rPr>
      </w:pPr>
    </w:p>
    <w:p w14:paraId="65A7FB94" w14:textId="77777777" w:rsidR="00691DEC" w:rsidRPr="003C4A31" w:rsidRDefault="00691DEC" w:rsidP="00691DEC">
      <w:pPr>
        <w:pStyle w:val="BodyText"/>
        <w:spacing w:after="120"/>
        <w:rPr>
          <w:rStyle w:val="IntenseEmphasis"/>
          <w:b w:val="0"/>
          <w:i w:val="0"/>
          <w:color w:val="auto"/>
          <w:szCs w:val="24"/>
        </w:rPr>
      </w:pPr>
      <w:r w:rsidRPr="003C4A31">
        <w:rPr>
          <w:rStyle w:val="IntenseEmphasis"/>
          <w:b w:val="0"/>
          <w:i w:val="0"/>
          <w:color w:val="auto"/>
          <w:szCs w:val="24"/>
        </w:rPr>
        <w:t>The City of Cockburn’s vision is:</w:t>
      </w:r>
    </w:p>
    <w:p w14:paraId="786B4FB4" w14:textId="77777777" w:rsidR="00691DEC" w:rsidRPr="003C4A31" w:rsidRDefault="00691DEC" w:rsidP="00691DEC">
      <w:pPr>
        <w:jc w:val="left"/>
        <w:rPr>
          <w:rStyle w:val="IntenseEmphasis"/>
          <w:b w:val="0"/>
          <w:color w:val="auto"/>
          <w:szCs w:val="24"/>
        </w:rPr>
      </w:pPr>
      <w:r w:rsidRPr="003C4A31">
        <w:rPr>
          <w:rStyle w:val="IntenseEmphasis"/>
          <w:color w:val="auto"/>
          <w:szCs w:val="24"/>
        </w:rPr>
        <w:tab/>
      </w:r>
      <w:r w:rsidRPr="003C4A31">
        <w:rPr>
          <w:rStyle w:val="IntenseEmphasis"/>
          <w:b w:val="0"/>
          <w:color w:val="auto"/>
          <w:szCs w:val="24"/>
        </w:rPr>
        <w:t>Cockburn, the best place to be</w:t>
      </w:r>
    </w:p>
    <w:p w14:paraId="47DD9EA8" w14:textId="77777777" w:rsidR="00691DEC" w:rsidRPr="003C4A31" w:rsidRDefault="00691DEC" w:rsidP="00691DEC">
      <w:pPr>
        <w:pStyle w:val="BodyText"/>
        <w:spacing w:after="120"/>
        <w:rPr>
          <w:rStyle w:val="IntenseEmphasis"/>
          <w:b w:val="0"/>
          <w:i w:val="0"/>
          <w:color w:val="auto"/>
          <w:szCs w:val="24"/>
        </w:rPr>
      </w:pPr>
      <w:r w:rsidRPr="003C4A31">
        <w:rPr>
          <w:rStyle w:val="IntenseEmphasis"/>
          <w:color w:val="auto"/>
          <w:szCs w:val="24"/>
        </w:rPr>
        <w:tab/>
      </w:r>
      <w:r w:rsidRPr="003C4A31">
        <w:rPr>
          <w:rStyle w:val="IntenseEmphasis"/>
          <w:b w:val="0"/>
          <w:i w:val="0"/>
          <w:color w:val="auto"/>
          <w:szCs w:val="24"/>
        </w:rPr>
        <w:t>The City of Cockburn’s purpose is:</w:t>
      </w:r>
    </w:p>
    <w:p w14:paraId="098F386E" w14:textId="05BF8B34" w:rsidR="00E479AC" w:rsidRPr="00CD6442" w:rsidRDefault="00691DEC" w:rsidP="00CD6442">
      <w:pPr>
        <w:pStyle w:val="BodyText"/>
        <w:spacing w:after="120"/>
        <w:ind w:left="720"/>
        <w:rPr>
          <w:bCs/>
          <w:i/>
          <w:iCs/>
          <w:szCs w:val="24"/>
        </w:rPr>
      </w:pPr>
      <w:r w:rsidRPr="003C4A31">
        <w:rPr>
          <w:rStyle w:val="IntenseEmphasis"/>
          <w:b w:val="0"/>
          <w:color w:val="auto"/>
          <w:szCs w:val="24"/>
        </w:rPr>
        <w:t>Support our communities to thrive by providing inclusive and sustainable services which reflect their aspirations</w:t>
      </w:r>
    </w:p>
    <w:p w14:paraId="56747EBE" w14:textId="77777777" w:rsidR="00E479AC" w:rsidRPr="00BA6ABB" w:rsidRDefault="00E479AC" w:rsidP="00135C53">
      <w:pPr>
        <w:rPr>
          <w:lang w:eastAsia="en-AU"/>
        </w:rPr>
      </w:pPr>
      <w:r w:rsidRPr="00BA6ABB">
        <w:rPr>
          <w:lang w:eastAsia="en-AU"/>
        </w:rPr>
        <w:t>The 5 key outcomes as detailed in the Strategic Community Plan (SCP) 2020-2030 are:</w:t>
      </w:r>
    </w:p>
    <w:p w14:paraId="4E2F345C" w14:textId="77777777" w:rsidR="00E479AC" w:rsidRPr="00BA6ABB" w:rsidRDefault="00E479AC" w:rsidP="003129BC">
      <w:pPr>
        <w:pStyle w:val="ListParagraph"/>
        <w:numPr>
          <w:ilvl w:val="0"/>
          <w:numId w:val="38"/>
        </w:numPr>
        <w:rPr>
          <w:lang w:eastAsia="en-AU"/>
        </w:rPr>
      </w:pPr>
      <w:r w:rsidRPr="00BA6ABB">
        <w:rPr>
          <w:lang w:eastAsia="en-AU"/>
        </w:rPr>
        <w:t>Local Economy,</w:t>
      </w:r>
    </w:p>
    <w:p w14:paraId="03F89880" w14:textId="77777777" w:rsidR="00E479AC" w:rsidRPr="00BA6ABB" w:rsidRDefault="00E479AC" w:rsidP="003129BC">
      <w:pPr>
        <w:pStyle w:val="ListParagraph"/>
        <w:numPr>
          <w:ilvl w:val="0"/>
          <w:numId w:val="38"/>
        </w:numPr>
        <w:rPr>
          <w:lang w:eastAsia="en-AU"/>
        </w:rPr>
      </w:pPr>
      <w:r w:rsidRPr="00BA6ABB">
        <w:rPr>
          <w:lang w:eastAsia="en-AU"/>
        </w:rPr>
        <w:t>Environmental Responsibility</w:t>
      </w:r>
    </w:p>
    <w:p w14:paraId="72FF0944" w14:textId="77777777" w:rsidR="00E479AC" w:rsidRPr="00BA6ABB" w:rsidRDefault="00E479AC" w:rsidP="003129BC">
      <w:pPr>
        <w:pStyle w:val="ListParagraph"/>
        <w:numPr>
          <w:ilvl w:val="0"/>
          <w:numId w:val="38"/>
        </w:numPr>
        <w:rPr>
          <w:lang w:eastAsia="en-AU"/>
        </w:rPr>
      </w:pPr>
      <w:r w:rsidRPr="00BA6ABB">
        <w:rPr>
          <w:lang w:eastAsia="en-AU"/>
        </w:rPr>
        <w:t>Community, Lifestyle &amp; Security</w:t>
      </w:r>
    </w:p>
    <w:p w14:paraId="3D135A55" w14:textId="77777777" w:rsidR="00E479AC" w:rsidRPr="00BA6ABB" w:rsidRDefault="00E479AC" w:rsidP="003129BC">
      <w:pPr>
        <w:pStyle w:val="ListParagraph"/>
        <w:numPr>
          <w:ilvl w:val="0"/>
          <w:numId w:val="38"/>
        </w:numPr>
        <w:rPr>
          <w:lang w:eastAsia="en-AU"/>
        </w:rPr>
      </w:pPr>
      <w:r w:rsidRPr="00BA6ABB">
        <w:rPr>
          <w:lang w:eastAsia="en-AU"/>
        </w:rPr>
        <w:t>City Growth and Moving Around</w:t>
      </w:r>
    </w:p>
    <w:p w14:paraId="2A7D469F" w14:textId="77777777" w:rsidR="00E479AC" w:rsidRPr="00BA6ABB" w:rsidRDefault="00E479AC" w:rsidP="006255E7">
      <w:pPr>
        <w:pStyle w:val="ListParagraph"/>
        <w:numPr>
          <w:ilvl w:val="0"/>
          <w:numId w:val="38"/>
        </w:numPr>
        <w:rPr>
          <w:lang w:eastAsia="en-AU"/>
        </w:rPr>
      </w:pPr>
      <w:r w:rsidRPr="00BA6ABB">
        <w:rPr>
          <w:lang w:eastAsia="en-AU"/>
        </w:rPr>
        <w:t>Listening and Leading</w:t>
      </w:r>
    </w:p>
    <w:p w14:paraId="230B1024" w14:textId="77777777" w:rsidR="00E479AC" w:rsidRDefault="00E479AC" w:rsidP="006255E7">
      <w:r w:rsidRPr="00BA6ABB">
        <w:t>The relevant goals and objectives as outlined in the Strategic Community Plan and how these are addressed in this asset management plan are detailed in Table 2.2.1.</w:t>
      </w:r>
    </w:p>
    <w:p w14:paraId="7A76E867" w14:textId="77777777" w:rsidR="002B4441" w:rsidRPr="00140CAE" w:rsidRDefault="00AC04F3" w:rsidP="00616E47">
      <w:pPr>
        <w:keepNext/>
        <w:rPr>
          <w:b/>
          <w:iCs/>
          <w:color w:val="0070C0"/>
          <w:szCs w:val="22"/>
        </w:rPr>
      </w:pPr>
      <w:r w:rsidRPr="00140CAE">
        <w:rPr>
          <w:b/>
          <w:iCs/>
          <w:color w:val="0070C0"/>
          <w:szCs w:val="22"/>
        </w:rPr>
        <w:t>Table 2.2</w:t>
      </w:r>
      <w:r w:rsidR="00345AFE" w:rsidRPr="00140CAE">
        <w:rPr>
          <w:b/>
          <w:iCs/>
          <w:color w:val="0070C0"/>
          <w:szCs w:val="22"/>
        </w:rPr>
        <w:t>.1</w:t>
      </w:r>
      <w:r w:rsidRPr="00140CAE">
        <w:rPr>
          <w:b/>
          <w:iCs/>
          <w:color w:val="0070C0"/>
          <w:szCs w:val="22"/>
        </w:rPr>
        <w:tab/>
      </w:r>
      <w:r w:rsidR="002B4441" w:rsidRPr="00140CAE">
        <w:rPr>
          <w:b/>
          <w:iCs/>
          <w:color w:val="0070C0"/>
          <w:szCs w:val="22"/>
        </w:rPr>
        <w:t>Council Goals and how these are addressed in this Plan</w:t>
      </w:r>
    </w:p>
    <w:tbl>
      <w:tblPr>
        <w:tblW w:w="9747" w:type="dxa"/>
        <w:tblLayout w:type="fixed"/>
        <w:tblLook w:val="01E0" w:firstRow="1" w:lastRow="1" w:firstColumn="1" w:lastColumn="1" w:noHBand="0" w:noVBand="0"/>
      </w:tblPr>
      <w:tblGrid>
        <w:gridCol w:w="3344"/>
        <w:gridCol w:w="3344"/>
        <w:gridCol w:w="3059"/>
      </w:tblGrid>
      <w:tr w:rsidR="00E45CF2" w:rsidRPr="0020345B" w14:paraId="0E779DE5" w14:textId="77777777" w:rsidTr="00BD4B7B">
        <w:trPr>
          <w:tblHeader/>
        </w:trPr>
        <w:tc>
          <w:tcPr>
            <w:tcW w:w="3344" w:type="dxa"/>
            <w:tcBorders>
              <w:top w:val="single" w:sz="8" w:space="0" w:color="auto"/>
              <w:left w:val="single" w:sz="8" w:space="0" w:color="auto"/>
              <w:bottom w:val="thinThickSmallGap" w:sz="24" w:space="0" w:color="auto"/>
              <w:right w:val="single" w:sz="8" w:space="0" w:color="FFFFFF" w:themeColor="background1"/>
            </w:tcBorders>
            <w:shd w:val="clear" w:color="auto" w:fill="4BACC6" w:themeFill="accent5"/>
            <w:vAlign w:val="center"/>
          </w:tcPr>
          <w:p w14:paraId="3EBEA184" w14:textId="77777777" w:rsidR="00E45CF2" w:rsidRPr="00711618" w:rsidRDefault="005D3A1F" w:rsidP="00B86A47">
            <w:pPr>
              <w:pStyle w:val="BodyText"/>
              <w:spacing w:before="60" w:after="120"/>
              <w:jc w:val="center"/>
              <w:rPr>
                <w:rFonts w:ascii="Arial Narrow" w:hAnsi="Arial Narrow" w:cs="Arial"/>
                <w:b/>
                <w:color w:val="FFFFFF" w:themeColor="background1"/>
                <w:szCs w:val="24"/>
              </w:rPr>
            </w:pPr>
            <w:bookmarkStart w:id="7" w:name="OLE_LINK3"/>
            <w:r w:rsidRPr="00711618">
              <w:rPr>
                <w:rFonts w:ascii="Arial Narrow" w:hAnsi="Arial Narrow" w:cs="Arial"/>
                <w:b/>
                <w:color w:val="FFFFFF" w:themeColor="background1"/>
                <w:szCs w:val="24"/>
              </w:rPr>
              <w:t>Strategic</w:t>
            </w:r>
            <w:r w:rsidR="00B86A47" w:rsidRPr="00711618">
              <w:rPr>
                <w:rFonts w:ascii="Arial Narrow" w:hAnsi="Arial Narrow" w:cs="Arial"/>
                <w:b/>
                <w:color w:val="FFFFFF" w:themeColor="background1"/>
                <w:szCs w:val="24"/>
              </w:rPr>
              <w:t xml:space="preserve"> Outcome</w:t>
            </w:r>
          </w:p>
        </w:tc>
        <w:tc>
          <w:tcPr>
            <w:tcW w:w="3344" w:type="dxa"/>
            <w:tcBorders>
              <w:top w:val="single" w:sz="8" w:space="0" w:color="auto"/>
              <w:left w:val="single" w:sz="8" w:space="0" w:color="FFFFFF" w:themeColor="background1"/>
              <w:bottom w:val="thinThickSmallGap" w:sz="24" w:space="0" w:color="auto"/>
              <w:right w:val="single" w:sz="8" w:space="0" w:color="FFFFFF" w:themeColor="background1"/>
            </w:tcBorders>
            <w:shd w:val="clear" w:color="auto" w:fill="4BACC6" w:themeFill="accent5"/>
            <w:vAlign w:val="center"/>
          </w:tcPr>
          <w:p w14:paraId="32472696" w14:textId="77777777" w:rsidR="00E45CF2" w:rsidRPr="00711618" w:rsidRDefault="00B86A47" w:rsidP="00393A79">
            <w:pPr>
              <w:pStyle w:val="BodyText"/>
              <w:spacing w:before="60" w:after="120"/>
              <w:jc w:val="center"/>
              <w:rPr>
                <w:rFonts w:ascii="Arial Narrow" w:hAnsi="Arial Narrow" w:cs="Arial"/>
                <w:b/>
                <w:color w:val="FFFFFF" w:themeColor="background1"/>
                <w:szCs w:val="24"/>
              </w:rPr>
            </w:pPr>
            <w:r w:rsidRPr="00711618">
              <w:rPr>
                <w:rFonts w:ascii="Arial Narrow" w:hAnsi="Arial Narrow" w:cs="Arial"/>
                <w:b/>
                <w:color w:val="FFFFFF" w:themeColor="background1"/>
                <w:szCs w:val="24"/>
              </w:rPr>
              <w:t xml:space="preserve">Strategic </w:t>
            </w:r>
            <w:r w:rsidR="00E45CF2" w:rsidRPr="00711618">
              <w:rPr>
                <w:rFonts w:ascii="Arial Narrow" w:hAnsi="Arial Narrow" w:cs="Arial"/>
                <w:b/>
                <w:color w:val="FFFFFF" w:themeColor="background1"/>
                <w:szCs w:val="24"/>
              </w:rPr>
              <w:t>Objective</w:t>
            </w:r>
          </w:p>
        </w:tc>
        <w:tc>
          <w:tcPr>
            <w:tcW w:w="3059" w:type="dxa"/>
            <w:tcBorders>
              <w:top w:val="single" w:sz="8" w:space="0" w:color="auto"/>
              <w:left w:val="single" w:sz="8" w:space="0" w:color="FFFFFF" w:themeColor="background1"/>
              <w:bottom w:val="thinThickSmallGap" w:sz="24" w:space="0" w:color="auto"/>
              <w:right w:val="single" w:sz="8" w:space="0" w:color="auto"/>
            </w:tcBorders>
            <w:shd w:val="clear" w:color="auto" w:fill="4BACC6" w:themeFill="accent5"/>
            <w:vAlign w:val="center"/>
          </w:tcPr>
          <w:p w14:paraId="6EA015F7" w14:textId="77777777" w:rsidR="00E45CF2" w:rsidRPr="00711618" w:rsidRDefault="00E45CF2" w:rsidP="004A7C4C">
            <w:pPr>
              <w:pStyle w:val="BodyText"/>
              <w:spacing w:before="60" w:after="120"/>
              <w:jc w:val="center"/>
              <w:rPr>
                <w:rFonts w:ascii="Arial Narrow" w:hAnsi="Arial Narrow" w:cs="Arial"/>
                <w:b/>
                <w:color w:val="FFFFFF" w:themeColor="background1"/>
                <w:szCs w:val="24"/>
              </w:rPr>
            </w:pPr>
            <w:r w:rsidRPr="00711618">
              <w:rPr>
                <w:rFonts w:ascii="Arial Narrow" w:hAnsi="Arial Narrow" w:cs="Arial"/>
                <w:b/>
                <w:color w:val="FFFFFF" w:themeColor="background1"/>
                <w:szCs w:val="24"/>
              </w:rPr>
              <w:t xml:space="preserve">How </w:t>
            </w:r>
            <w:r w:rsidR="004A7C4C">
              <w:rPr>
                <w:rFonts w:ascii="Arial Narrow" w:hAnsi="Arial Narrow" w:cs="Arial"/>
                <w:b/>
                <w:color w:val="FFFFFF" w:themeColor="background1"/>
                <w:szCs w:val="24"/>
              </w:rPr>
              <w:t>Outcomes</w:t>
            </w:r>
            <w:r w:rsidRPr="00711618">
              <w:rPr>
                <w:rFonts w:ascii="Arial Narrow" w:hAnsi="Arial Narrow" w:cs="Arial"/>
                <w:b/>
                <w:color w:val="FFFFFF" w:themeColor="background1"/>
                <w:szCs w:val="24"/>
              </w:rPr>
              <w:t xml:space="preserve"> and </w:t>
            </w:r>
            <w:r w:rsidR="005A530D" w:rsidRPr="00711618">
              <w:rPr>
                <w:rFonts w:ascii="Arial Narrow" w:hAnsi="Arial Narrow" w:cs="Arial"/>
                <w:b/>
                <w:color w:val="FFFFFF" w:themeColor="background1"/>
                <w:szCs w:val="24"/>
              </w:rPr>
              <w:t>Objectives are addressed in this asset management plan</w:t>
            </w:r>
          </w:p>
        </w:tc>
      </w:tr>
      <w:tr w:rsidR="00711618" w:rsidRPr="0020345B" w14:paraId="22161311" w14:textId="77777777" w:rsidTr="00BD4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8"/>
        </w:trPr>
        <w:tc>
          <w:tcPr>
            <w:tcW w:w="3344" w:type="dxa"/>
            <w:tcBorders>
              <w:top w:val="thinThickSmallGap" w:sz="24" w:space="0" w:color="auto"/>
              <w:left w:val="single" w:sz="8" w:space="0" w:color="auto"/>
              <w:bottom w:val="single" w:sz="8" w:space="0" w:color="FFFFFF" w:themeColor="background1"/>
              <w:right w:val="thinThickSmallGap" w:sz="24" w:space="0" w:color="auto"/>
            </w:tcBorders>
            <w:shd w:val="clear" w:color="auto" w:fill="B6DDE8" w:themeFill="accent5" w:themeFillTint="66"/>
          </w:tcPr>
          <w:p w14:paraId="1DF102BB" w14:textId="3CCA7E5C" w:rsidR="00711618" w:rsidRPr="00711618" w:rsidRDefault="004E58BC" w:rsidP="00BD4B7B">
            <w:pPr>
              <w:pStyle w:val="BodyText"/>
              <w:spacing w:before="60" w:after="60"/>
              <w:jc w:val="left"/>
              <w:rPr>
                <w:rFonts w:ascii="Arial Narrow" w:hAnsi="Arial Narrow" w:cs="Arial"/>
                <w:b/>
                <w:szCs w:val="24"/>
              </w:rPr>
            </w:pPr>
            <w:r>
              <w:rPr>
                <w:rFonts w:ascii="Arial Narrow" w:hAnsi="Arial Narrow" w:cs="Arial"/>
                <w:b/>
                <w:szCs w:val="24"/>
              </w:rPr>
              <w:t xml:space="preserve">Community, Lifestyle and </w:t>
            </w:r>
            <w:proofErr w:type="spellStart"/>
            <w:r>
              <w:rPr>
                <w:rFonts w:ascii="Arial Narrow" w:hAnsi="Arial Narrow" w:cs="Arial"/>
                <w:b/>
                <w:szCs w:val="24"/>
              </w:rPr>
              <w:t>Secutity</w:t>
            </w:r>
            <w:proofErr w:type="spellEnd"/>
            <w:r w:rsidR="004A7C4C">
              <w:rPr>
                <w:rFonts w:ascii="Arial Narrow" w:hAnsi="Arial Narrow" w:cs="Arial"/>
                <w:b/>
                <w:szCs w:val="24"/>
              </w:rPr>
              <w:t>:</w:t>
            </w:r>
          </w:p>
          <w:p w14:paraId="42027DAD" w14:textId="58E53F9D" w:rsidR="00711618" w:rsidRPr="00711618" w:rsidRDefault="004E58BC" w:rsidP="00711618">
            <w:pPr>
              <w:pStyle w:val="BodyText"/>
              <w:spacing w:before="60" w:after="60"/>
              <w:jc w:val="left"/>
              <w:rPr>
                <w:rFonts w:ascii="Arial Narrow" w:hAnsi="Arial Narrow" w:cs="Arial"/>
                <w:szCs w:val="24"/>
              </w:rPr>
            </w:pPr>
            <w:r>
              <w:t>A vibrant, healthy, safe, inclusive and connected community</w:t>
            </w:r>
          </w:p>
        </w:tc>
        <w:tc>
          <w:tcPr>
            <w:tcW w:w="3344" w:type="dxa"/>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auto" w:fill="B6DDE8" w:themeFill="accent5" w:themeFillTint="66"/>
          </w:tcPr>
          <w:p w14:paraId="749C2319" w14:textId="23F644F4" w:rsidR="00711618" w:rsidRPr="004A1B25" w:rsidRDefault="004E58BC" w:rsidP="004E58BC">
            <w:pPr>
              <w:pStyle w:val="BodyText"/>
              <w:spacing w:before="60" w:after="60"/>
              <w:jc w:val="left"/>
              <w:rPr>
                <w:rFonts w:ascii="Arial Narrow" w:eastAsia="Arial Narrow" w:hAnsi="Arial Narrow"/>
              </w:rPr>
            </w:pPr>
            <w:r>
              <w:rPr>
                <w:rFonts w:ascii="Arial Narrow" w:eastAsia="Arial Narrow" w:hAnsi="Arial Narrow"/>
              </w:rPr>
              <w:t xml:space="preserve">1. </w:t>
            </w:r>
            <w:r w:rsidRPr="004E58BC">
              <w:rPr>
                <w:rFonts w:ascii="Arial Narrow" w:eastAsia="Arial Narrow" w:hAnsi="Arial Narrow"/>
              </w:rPr>
              <w:t>Accessible and inclusive community, recreation and cultural services and facilities that enrich our community</w:t>
            </w:r>
          </w:p>
        </w:tc>
        <w:tc>
          <w:tcPr>
            <w:tcW w:w="3059" w:type="dxa"/>
            <w:tcBorders>
              <w:top w:val="thinThickSmallGap" w:sz="24" w:space="0" w:color="auto"/>
              <w:left w:val="single" w:sz="8" w:space="0" w:color="FFFFFF" w:themeColor="background1"/>
              <w:bottom w:val="single" w:sz="8" w:space="0" w:color="FFFFFF" w:themeColor="background1"/>
              <w:right w:val="single" w:sz="8" w:space="0" w:color="auto"/>
            </w:tcBorders>
            <w:shd w:val="clear" w:color="auto" w:fill="B6DDE8" w:themeFill="accent5" w:themeFillTint="66"/>
          </w:tcPr>
          <w:p w14:paraId="24FB5A57" w14:textId="77777777" w:rsidR="004A7C4C" w:rsidRDefault="004A7C4C" w:rsidP="002F447D">
            <w:pPr>
              <w:pStyle w:val="BodyText"/>
              <w:spacing w:before="60" w:after="60"/>
              <w:jc w:val="left"/>
              <w:rPr>
                <w:rFonts w:ascii="Arial Narrow" w:hAnsi="Arial Narrow" w:cs="Arial"/>
                <w:b/>
                <w:szCs w:val="24"/>
              </w:rPr>
            </w:pPr>
            <w:r>
              <w:rPr>
                <w:rFonts w:ascii="Arial Narrow" w:hAnsi="Arial Narrow" w:cs="Arial"/>
                <w:b/>
                <w:szCs w:val="24"/>
              </w:rPr>
              <w:t>Future Demand:</w:t>
            </w:r>
          </w:p>
          <w:p w14:paraId="59C57094" w14:textId="77777777" w:rsidR="00711618" w:rsidRPr="004A7C4C" w:rsidRDefault="004A7C4C" w:rsidP="002F447D">
            <w:pPr>
              <w:pStyle w:val="BodyText"/>
              <w:spacing w:before="60" w:after="60"/>
              <w:jc w:val="left"/>
              <w:rPr>
                <w:rFonts w:ascii="Arial Narrow" w:hAnsi="Arial Narrow" w:cs="Arial"/>
                <w:szCs w:val="24"/>
              </w:rPr>
            </w:pPr>
            <w:r w:rsidRPr="004A7C4C">
              <w:rPr>
                <w:rFonts w:ascii="Arial Narrow" w:hAnsi="Arial Narrow" w:cs="Arial"/>
                <w:szCs w:val="24"/>
              </w:rPr>
              <w:t>Section 4</w:t>
            </w:r>
          </w:p>
          <w:p w14:paraId="067CC7B8" w14:textId="77777777" w:rsidR="004A7C4C" w:rsidRDefault="004A7C4C" w:rsidP="002F447D">
            <w:pPr>
              <w:pStyle w:val="BodyText"/>
              <w:spacing w:before="60" w:after="60"/>
              <w:jc w:val="left"/>
              <w:rPr>
                <w:rFonts w:ascii="Arial Narrow" w:hAnsi="Arial Narrow" w:cs="Arial"/>
                <w:b/>
                <w:szCs w:val="24"/>
              </w:rPr>
            </w:pPr>
            <w:r>
              <w:rPr>
                <w:rFonts w:ascii="Arial Narrow" w:hAnsi="Arial Narrow" w:cs="Arial"/>
                <w:b/>
                <w:szCs w:val="24"/>
              </w:rPr>
              <w:t>Financial Analysis:</w:t>
            </w:r>
          </w:p>
          <w:p w14:paraId="7C068B2C" w14:textId="77777777" w:rsidR="004A7C4C" w:rsidRPr="004A7C4C" w:rsidRDefault="004A7C4C" w:rsidP="002F447D">
            <w:pPr>
              <w:pStyle w:val="BodyText"/>
              <w:spacing w:before="60" w:after="60"/>
              <w:jc w:val="left"/>
              <w:rPr>
                <w:rFonts w:ascii="Arial Narrow" w:hAnsi="Arial Narrow" w:cs="Arial"/>
                <w:szCs w:val="24"/>
              </w:rPr>
            </w:pPr>
            <w:r w:rsidRPr="004A7C4C">
              <w:rPr>
                <w:rFonts w:ascii="Arial Narrow" w:hAnsi="Arial Narrow" w:cs="Arial"/>
                <w:szCs w:val="24"/>
              </w:rPr>
              <w:t>Section 6</w:t>
            </w:r>
          </w:p>
        </w:tc>
      </w:tr>
      <w:tr w:rsidR="00711618" w:rsidRPr="0020345B" w14:paraId="3B936D54" w14:textId="77777777" w:rsidTr="00D85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8"/>
        </w:trPr>
        <w:tc>
          <w:tcPr>
            <w:tcW w:w="3344" w:type="dxa"/>
            <w:tcBorders>
              <w:top w:val="single" w:sz="24" w:space="0" w:color="FFFFFF" w:themeColor="background1"/>
              <w:left w:val="single" w:sz="8" w:space="0" w:color="auto"/>
              <w:bottom w:val="single" w:sz="4" w:space="0" w:color="FFFFFF" w:themeColor="background1"/>
              <w:right w:val="thinThickSmallGap" w:sz="24" w:space="0" w:color="auto"/>
            </w:tcBorders>
            <w:shd w:val="clear" w:color="auto" w:fill="DAEEF3" w:themeFill="accent5" w:themeFillTint="33"/>
          </w:tcPr>
          <w:p w14:paraId="43E64539" w14:textId="77777777" w:rsidR="004A7C4C" w:rsidRPr="004A7C4C" w:rsidRDefault="004A7C4C" w:rsidP="004A7C4C">
            <w:pPr>
              <w:pStyle w:val="BodyText"/>
              <w:spacing w:before="60" w:after="60"/>
              <w:jc w:val="left"/>
              <w:rPr>
                <w:rFonts w:ascii="Arial Narrow" w:hAnsi="Arial Narrow" w:cs="Arial"/>
                <w:b/>
                <w:szCs w:val="24"/>
              </w:rPr>
            </w:pPr>
            <w:r w:rsidRPr="004A7C4C">
              <w:rPr>
                <w:rFonts w:ascii="Arial Narrow" w:hAnsi="Arial Narrow" w:cs="Arial"/>
                <w:b/>
                <w:szCs w:val="24"/>
              </w:rPr>
              <w:t>Environmental Responsibility</w:t>
            </w:r>
            <w:r>
              <w:rPr>
                <w:rFonts w:ascii="Arial Narrow" w:hAnsi="Arial Narrow" w:cs="Arial"/>
                <w:b/>
                <w:szCs w:val="24"/>
              </w:rPr>
              <w:t>:</w:t>
            </w:r>
          </w:p>
          <w:p w14:paraId="73FA7192" w14:textId="77777777" w:rsidR="00711618" w:rsidRPr="004A7C4C" w:rsidRDefault="004A7C4C" w:rsidP="004A7C4C">
            <w:pPr>
              <w:pStyle w:val="BodyText"/>
              <w:spacing w:before="60" w:after="60"/>
              <w:jc w:val="left"/>
              <w:rPr>
                <w:rFonts w:ascii="Arial Narrow" w:hAnsi="Arial Narrow" w:cs="Arial"/>
                <w:szCs w:val="24"/>
              </w:rPr>
            </w:pPr>
            <w:r w:rsidRPr="004A7C4C">
              <w:rPr>
                <w:rFonts w:ascii="Arial Narrow" w:hAnsi="Arial Narrow" w:cs="Arial"/>
                <w:szCs w:val="24"/>
              </w:rPr>
              <w:t xml:space="preserve">A leader in environmental management that enhances and sustainably manages our local </w:t>
            </w:r>
            <w:r w:rsidRPr="004A7C4C">
              <w:rPr>
                <w:rFonts w:ascii="Arial Narrow" w:hAnsi="Arial Narrow" w:cs="Arial"/>
                <w:szCs w:val="24"/>
              </w:rPr>
              <w:lastRenderedPageBreak/>
              <w:t>natural areas and resources</w:t>
            </w:r>
          </w:p>
        </w:tc>
        <w:tc>
          <w:tcPr>
            <w:tcW w:w="3344" w:type="dxa"/>
            <w:tcBorders>
              <w:top w:val="single" w:sz="8" w:space="0" w:color="FFFFFF" w:themeColor="background1"/>
              <w:left w:val="thinThickSmallGap" w:sz="24" w:space="0" w:color="auto"/>
              <w:bottom w:val="single" w:sz="4" w:space="0" w:color="FFFFFF" w:themeColor="background1"/>
              <w:right w:val="single" w:sz="8" w:space="0" w:color="FFFFFF" w:themeColor="background1"/>
            </w:tcBorders>
            <w:shd w:val="clear" w:color="auto" w:fill="DAEEF3" w:themeFill="accent5" w:themeFillTint="33"/>
          </w:tcPr>
          <w:p w14:paraId="69E3F462" w14:textId="673FEC19" w:rsidR="00711618" w:rsidRPr="004A1B25" w:rsidRDefault="003471A4" w:rsidP="003471A4">
            <w:pPr>
              <w:pStyle w:val="BodyText"/>
              <w:spacing w:before="60" w:after="60"/>
              <w:jc w:val="left"/>
              <w:rPr>
                <w:rFonts w:ascii="Arial Narrow" w:eastAsia="Arial Narrow" w:hAnsi="Arial Narrow"/>
              </w:rPr>
            </w:pPr>
            <w:r>
              <w:rPr>
                <w:rFonts w:ascii="Arial Narrow" w:eastAsia="Arial Narrow" w:hAnsi="Arial Narrow"/>
              </w:rPr>
              <w:lastRenderedPageBreak/>
              <w:t xml:space="preserve">1. </w:t>
            </w:r>
            <w:r w:rsidR="004E58BC" w:rsidRPr="004E58BC">
              <w:rPr>
                <w:rFonts w:ascii="Arial Narrow" w:eastAsia="Arial Narrow" w:hAnsi="Arial Narrow"/>
              </w:rPr>
              <w:t>A vibrant, healthy, safe, inclusive and connected community</w:t>
            </w:r>
          </w:p>
        </w:tc>
        <w:tc>
          <w:tcPr>
            <w:tcW w:w="3059" w:type="dxa"/>
            <w:tcBorders>
              <w:top w:val="single" w:sz="8" w:space="0" w:color="FFFFFF" w:themeColor="background1"/>
              <w:left w:val="single" w:sz="8" w:space="0" w:color="FFFFFF" w:themeColor="background1"/>
              <w:bottom w:val="single" w:sz="4" w:space="0" w:color="FFFFFF" w:themeColor="background1"/>
              <w:right w:val="single" w:sz="8" w:space="0" w:color="auto"/>
            </w:tcBorders>
            <w:shd w:val="clear" w:color="auto" w:fill="DAEEF3" w:themeFill="accent5" w:themeFillTint="33"/>
          </w:tcPr>
          <w:p w14:paraId="692347AA" w14:textId="77777777" w:rsidR="00711618" w:rsidRDefault="003471A4" w:rsidP="002F447D">
            <w:pPr>
              <w:pStyle w:val="BodyText"/>
              <w:spacing w:before="60" w:after="60"/>
              <w:jc w:val="left"/>
              <w:rPr>
                <w:rFonts w:ascii="Arial Narrow" w:hAnsi="Arial Narrow" w:cs="Arial"/>
                <w:b/>
                <w:szCs w:val="24"/>
              </w:rPr>
            </w:pPr>
            <w:r>
              <w:rPr>
                <w:rFonts w:ascii="Arial Narrow" w:hAnsi="Arial Narrow" w:cs="Arial"/>
                <w:b/>
                <w:szCs w:val="24"/>
              </w:rPr>
              <w:t>Levels of Service:</w:t>
            </w:r>
          </w:p>
          <w:p w14:paraId="09812C76" w14:textId="77777777" w:rsidR="003471A4" w:rsidRPr="003471A4" w:rsidRDefault="003471A4" w:rsidP="002F447D">
            <w:pPr>
              <w:pStyle w:val="BodyText"/>
              <w:spacing w:before="60" w:after="60"/>
              <w:jc w:val="left"/>
              <w:rPr>
                <w:rFonts w:ascii="Arial Narrow" w:hAnsi="Arial Narrow" w:cs="Arial"/>
                <w:szCs w:val="24"/>
              </w:rPr>
            </w:pPr>
            <w:r w:rsidRPr="003471A4">
              <w:rPr>
                <w:rFonts w:ascii="Arial Narrow" w:hAnsi="Arial Narrow" w:cs="Arial"/>
                <w:szCs w:val="24"/>
              </w:rPr>
              <w:t>Section 3</w:t>
            </w:r>
          </w:p>
        </w:tc>
      </w:tr>
      <w:tr w:rsidR="002B4F0A" w:rsidRPr="0020345B" w14:paraId="1F68EAFD" w14:textId="77777777" w:rsidTr="00D85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8"/>
        </w:trPr>
        <w:tc>
          <w:tcPr>
            <w:tcW w:w="3344" w:type="dxa"/>
            <w:tcBorders>
              <w:top w:val="single" w:sz="4" w:space="0" w:color="FFFFFF" w:themeColor="background1"/>
              <w:left w:val="single" w:sz="8" w:space="0" w:color="auto"/>
              <w:bottom w:val="single" w:sz="24" w:space="0" w:color="FFFFFF" w:themeColor="background1"/>
              <w:right w:val="thinThickSmallGap" w:sz="24" w:space="0" w:color="auto"/>
            </w:tcBorders>
            <w:shd w:val="clear" w:color="auto" w:fill="B6DDE8" w:themeFill="accent5" w:themeFillTint="66"/>
          </w:tcPr>
          <w:p w14:paraId="21D60DC7" w14:textId="77777777" w:rsidR="00367CF6" w:rsidRPr="0020345B" w:rsidRDefault="00197DF8" w:rsidP="00367CF6">
            <w:pPr>
              <w:pStyle w:val="BodyText"/>
              <w:spacing w:before="60" w:after="60"/>
              <w:jc w:val="left"/>
              <w:rPr>
                <w:rFonts w:ascii="Arial Narrow" w:hAnsi="Arial Narrow" w:cs="Arial"/>
                <w:szCs w:val="24"/>
              </w:rPr>
            </w:pPr>
            <w:r w:rsidRPr="004A1B25">
              <w:rPr>
                <w:rFonts w:ascii="Arial Narrow" w:hAnsi="Arial Narrow" w:cs="Arial"/>
                <w:b/>
                <w:szCs w:val="24"/>
              </w:rPr>
              <w:t>City Growth and Moving Around</w:t>
            </w:r>
            <w:r w:rsidRPr="00197DF8">
              <w:rPr>
                <w:rFonts w:ascii="Arial Narrow" w:hAnsi="Arial Narrow" w:cs="Arial"/>
                <w:szCs w:val="24"/>
              </w:rPr>
              <w:t>: A growing City that is easy to move around and provides great places to live</w:t>
            </w:r>
          </w:p>
        </w:tc>
        <w:tc>
          <w:tcPr>
            <w:tcW w:w="3344" w:type="dxa"/>
            <w:tcBorders>
              <w:top w:val="single" w:sz="4" w:space="0" w:color="FFFFFF" w:themeColor="background1"/>
              <w:left w:val="thinThickSmallGap" w:sz="24" w:space="0" w:color="auto"/>
              <w:bottom w:val="single" w:sz="8" w:space="0" w:color="FFFFFF" w:themeColor="background1"/>
              <w:right w:val="single" w:sz="8" w:space="0" w:color="FFFFFF" w:themeColor="background1"/>
            </w:tcBorders>
            <w:shd w:val="clear" w:color="auto" w:fill="B6DDE8" w:themeFill="accent5" w:themeFillTint="66"/>
          </w:tcPr>
          <w:p w14:paraId="2BDB521A" w14:textId="6441F896" w:rsidR="00FD67B7" w:rsidRPr="004E58BC" w:rsidRDefault="004A7C4C" w:rsidP="004E58BC">
            <w:pPr>
              <w:pStyle w:val="BodyText"/>
              <w:spacing w:before="60" w:after="60"/>
              <w:jc w:val="left"/>
              <w:rPr>
                <w:rFonts w:ascii="Arial Narrow" w:eastAsia="Arial Narrow" w:hAnsi="Arial Narrow"/>
              </w:rPr>
            </w:pPr>
            <w:r>
              <w:rPr>
                <w:rFonts w:ascii="Arial Narrow" w:eastAsia="Arial Narrow" w:hAnsi="Arial Narrow"/>
              </w:rPr>
              <w:t xml:space="preserve">1. </w:t>
            </w:r>
            <w:r w:rsidR="004E58BC" w:rsidRPr="004E58BC">
              <w:rPr>
                <w:rFonts w:ascii="Arial Narrow" w:eastAsia="Arial Narrow" w:hAnsi="Arial Narrow"/>
              </w:rPr>
              <w:t>An attractive, socially connected and diverse built environment</w:t>
            </w:r>
          </w:p>
          <w:p w14:paraId="7341FE57" w14:textId="51CD9D28" w:rsidR="002976FA" w:rsidRPr="0020345B" w:rsidRDefault="004A7C4C" w:rsidP="004E58BC">
            <w:pPr>
              <w:pStyle w:val="BodyText"/>
              <w:spacing w:before="60" w:after="60"/>
              <w:jc w:val="left"/>
              <w:rPr>
                <w:rFonts w:ascii="Arial Narrow" w:hAnsi="Arial Narrow" w:cs="Arial"/>
                <w:szCs w:val="24"/>
              </w:rPr>
            </w:pPr>
            <w:r>
              <w:rPr>
                <w:rFonts w:ascii="Arial Narrow" w:hAnsi="Arial Narrow" w:cs="Arial"/>
                <w:szCs w:val="24"/>
              </w:rPr>
              <w:t xml:space="preserve">2. </w:t>
            </w:r>
            <w:r w:rsidR="004E58BC" w:rsidRPr="004E58BC">
              <w:rPr>
                <w:rFonts w:ascii="Arial Narrow" w:hAnsi="Arial Narrow" w:cs="Arial"/>
                <w:szCs w:val="24"/>
              </w:rPr>
              <w:t>An integrated, accessible and improved transport network</w:t>
            </w:r>
          </w:p>
        </w:tc>
        <w:tc>
          <w:tcPr>
            <w:tcW w:w="3059" w:type="dxa"/>
            <w:tcBorders>
              <w:top w:val="single" w:sz="4" w:space="0" w:color="FFFFFF" w:themeColor="background1"/>
              <w:left w:val="single" w:sz="8" w:space="0" w:color="FFFFFF" w:themeColor="background1"/>
              <w:bottom w:val="single" w:sz="8" w:space="0" w:color="FFFFFF" w:themeColor="background1"/>
              <w:right w:val="single" w:sz="8" w:space="0" w:color="auto"/>
            </w:tcBorders>
            <w:shd w:val="clear" w:color="auto" w:fill="B6DDE8" w:themeFill="accent5" w:themeFillTint="66"/>
          </w:tcPr>
          <w:p w14:paraId="45C731C3" w14:textId="77777777" w:rsidR="004A7C4C" w:rsidRPr="004A7C4C" w:rsidRDefault="004A7C4C" w:rsidP="004A7C4C">
            <w:pPr>
              <w:pStyle w:val="BodyText"/>
              <w:spacing w:before="60" w:after="60"/>
              <w:jc w:val="left"/>
              <w:rPr>
                <w:rFonts w:ascii="Arial Narrow" w:hAnsi="Arial Narrow" w:cs="Arial"/>
                <w:b/>
                <w:szCs w:val="24"/>
              </w:rPr>
            </w:pPr>
            <w:r w:rsidRPr="004A7C4C">
              <w:rPr>
                <w:rFonts w:ascii="Arial Narrow" w:hAnsi="Arial Narrow" w:cs="Arial"/>
                <w:b/>
                <w:szCs w:val="24"/>
              </w:rPr>
              <w:t>Future Demand:</w:t>
            </w:r>
          </w:p>
          <w:p w14:paraId="05CCDDE2" w14:textId="77777777" w:rsidR="002B4F0A" w:rsidRPr="004A7C4C" w:rsidRDefault="004A7C4C" w:rsidP="004A7C4C">
            <w:pPr>
              <w:pStyle w:val="BodyText"/>
              <w:spacing w:before="60" w:after="60"/>
              <w:jc w:val="left"/>
              <w:rPr>
                <w:rFonts w:ascii="Arial Narrow" w:hAnsi="Arial Narrow" w:cs="Arial"/>
                <w:szCs w:val="24"/>
              </w:rPr>
            </w:pPr>
            <w:r w:rsidRPr="004A7C4C">
              <w:rPr>
                <w:rFonts w:ascii="Arial Narrow" w:hAnsi="Arial Narrow" w:cs="Arial"/>
                <w:szCs w:val="24"/>
              </w:rPr>
              <w:t>Section 4</w:t>
            </w:r>
          </w:p>
        </w:tc>
      </w:tr>
      <w:tr w:rsidR="00D13DA0" w:rsidRPr="0020345B" w14:paraId="7D66B5B4" w14:textId="77777777" w:rsidTr="00EB62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8"/>
        </w:trPr>
        <w:tc>
          <w:tcPr>
            <w:tcW w:w="3344" w:type="dxa"/>
            <w:tcBorders>
              <w:top w:val="single" w:sz="24" w:space="0" w:color="FFFFFF" w:themeColor="background1"/>
              <w:left w:val="single" w:sz="8" w:space="0" w:color="auto"/>
              <w:bottom w:val="single" w:sz="8" w:space="0" w:color="auto"/>
              <w:right w:val="thinThickSmallGap" w:sz="24" w:space="0" w:color="auto"/>
            </w:tcBorders>
            <w:shd w:val="clear" w:color="auto" w:fill="DAEEF3" w:themeFill="accent5" w:themeFillTint="33"/>
          </w:tcPr>
          <w:p w14:paraId="170BB51E" w14:textId="77777777" w:rsidR="00C83968" w:rsidRPr="00C83968" w:rsidRDefault="00D13DA0" w:rsidP="00EB624D">
            <w:pPr>
              <w:pStyle w:val="BodyText"/>
              <w:spacing w:before="60" w:after="60"/>
              <w:rPr>
                <w:rFonts w:ascii="Arial Narrow" w:hAnsi="Arial Narrow" w:cs="Arial"/>
                <w:szCs w:val="24"/>
                <w:lang w:eastAsia="en-AU"/>
              </w:rPr>
            </w:pPr>
            <w:r w:rsidRPr="00C83968">
              <w:rPr>
                <w:rFonts w:ascii="Arial Narrow" w:hAnsi="Arial Narrow" w:cs="Arial"/>
                <w:b/>
                <w:szCs w:val="24"/>
                <w:lang w:eastAsia="en-AU"/>
              </w:rPr>
              <w:t>Listening and Leading</w:t>
            </w:r>
            <w:r w:rsidRPr="00C83968">
              <w:rPr>
                <w:rFonts w:ascii="Arial Narrow" w:hAnsi="Arial Narrow" w:cs="Arial"/>
                <w:szCs w:val="24"/>
                <w:lang w:eastAsia="en-AU"/>
              </w:rPr>
              <w:t xml:space="preserve">: </w:t>
            </w:r>
          </w:p>
          <w:p w14:paraId="37300522" w14:textId="77777777" w:rsidR="00D13DA0" w:rsidRPr="00C83968" w:rsidRDefault="00D13DA0" w:rsidP="00EB624D">
            <w:pPr>
              <w:pStyle w:val="BodyText"/>
              <w:spacing w:before="60" w:after="60"/>
              <w:jc w:val="left"/>
              <w:rPr>
                <w:rFonts w:ascii="Arial Narrow" w:hAnsi="Arial Narrow" w:cs="Arial"/>
                <w:szCs w:val="24"/>
              </w:rPr>
            </w:pPr>
            <w:r w:rsidRPr="00C83968">
              <w:rPr>
                <w:rFonts w:ascii="Arial Narrow" w:hAnsi="Arial Narrow" w:cs="Arial"/>
                <w:szCs w:val="24"/>
                <w:lang w:eastAsia="en-AU"/>
              </w:rPr>
              <w:t>A community focused, sustainable, accountab</w:t>
            </w:r>
            <w:r w:rsidRPr="00C83968">
              <w:rPr>
                <w:rFonts w:ascii="Arial Narrow" w:hAnsi="Arial Narrow" w:cs="Arial"/>
                <w:szCs w:val="24"/>
              </w:rPr>
              <w:t>le and progressive organisation</w:t>
            </w:r>
          </w:p>
        </w:tc>
        <w:tc>
          <w:tcPr>
            <w:tcW w:w="3344" w:type="dxa"/>
            <w:tcBorders>
              <w:top w:val="single" w:sz="8" w:space="0" w:color="FFFFFF" w:themeColor="background1"/>
              <w:left w:val="thinThickSmallGap" w:sz="24" w:space="0" w:color="auto"/>
              <w:bottom w:val="single" w:sz="8" w:space="0" w:color="auto"/>
              <w:right w:val="single" w:sz="8" w:space="0" w:color="FFFFFF" w:themeColor="background1"/>
            </w:tcBorders>
            <w:shd w:val="clear" w:color="auto" w:fill="DAEEF3" w:themeFill="accent5" w:themeFillTint="33"/>
          </w:tcPr>
          <w:p w14:paraId="4841BCE5" w14:textId="70570E77" w:rsidR="00D13DA0" w:rsidRPr="004E58BC" w:rsidRDefault="004A7C4C" w:rsidP="004E58BC">
            <w:pPr>
              <w:autoSpaceDE w:val="0"/>
              <w:autoSpaceDN w:val="0"/>
              <w:adjustRightInd w:val="0"/>
              <w:spacing w:after="0"/>
              <w:jc w:val="left"/>
              <w:rPr>
                <w:rFonts w:ascii="Arial Narrow" w:hAnsi="Arial Narrow"/>
              </w:rPr>
            </w:pPr>
            <w:r>
              <w:rPr>
                <w:rFonts w:ascii="Arial Narrow" w:hAnsi="Arial Narrow"/>
              </w:rPr>
              <w:t xml:space="preserve">1. </w:t>
            </w:r>
            <w:r w:rsidR="004E58BC" w:rsidRPr="004E58BC">
              <w:rPr>
                <w:rFonts w:ascii="Arial Narrow" w:hAnsi="Arial Narrow"/>
              </w:rPr>
              <w:t>Best practice Governance, partnerships and value for money</w:t>
            </w:r>
          </w:p>
          <w:p w14:paraId="1CF88B57" w14:textId="028C8D8B" w:rsidR="00D13DA0" w:rsidRPr="004A7C4C" w:rsidRDefault="00D13DA0" w:rsidP="004A7C4C">
            <w:pPr>
              <w:autoSpaceDE w:val="0"/>
              <w:autoSpaceDN w:val="0"/>
              <w:adjustRightInd w:val="0"/>
              <w:spacing w:after="0"/>
              <w:jc w:val="left"/>
              <w:rPr>
                <w:rFonts w:ascii="Arial Narrow" w:hAnsi="Arial Narrow" w:cs="NewsGothicBT-Light"/>
                <w:color w:val="1A1A1A"/>
                <w:szCs w:val="24"/>
                <w:lang w:eastAsia="en-AU"/>
              </w:rPr>
            </w:pPr>
          </w:p>
        </w:tc>
        <w:tc>
          <w:tcPr>
            <w:tcW w:w="3059" w:type="dxa"/>
            <w:tcBorders>
              <w:top w:val="single" w:sz="8" w:space="0" w:color="FFFFFF" w:themeColor="background1"/>
              <w:left w:val="single" w:sz="8" w:space="0" w:color="FFFFFF" w:themeColor="background1"/>
              <w:bottom w:val="single" w:sz="8" w:space="0" w:color="auto"/>
              <w:right w:val="single" w:sz="8" w:space="0" w:color="auto"/>
            </w:tcBorders>
            <w:shd w:val="clear" w:color="auto" w:fill="DAEEF3" w:themeFill="accent5" w:themeFillTint="33"/>
          </w:tcPr>
          <w:p w14:paraId="06063C89" w14:textId="77777777" w:rsidR="004A7C4C" w:rsidRPr="004A7C4C" w:rsidRDefault="004A7C4C" w:rsidP="004A7C4C">
            <w:pPr>
              <w:pStyle w:val="BodyText"/>
              <w:spacing w:before="60" w:after="60"/>
              <w:rPr>
                <w:rFonts w:ascii="Arial Narrow" w:hAnsi="Arial Narrow" w:cs="Arial"/>
                <w:b/>
                <w:szCs w:val="24"/>
              </w:rPr>
            </w:pPr>
            <w:r w:rsidRPr="004A7C4C">
              <w:rPr>
                <w:rFonts w:ascii="Arial Narrow" w:hAnsi="Arial Narrow" w:cs="Arial"/>
                <w:b/>
                <w:szCs w:val="24"/>
              </w:rPr>
              <w:t>Financial Analysis:</w:t>
            </w:r>
          </w:p>
          <w:p w14:paraId="384D0287" w14:textId="77777777" w:rsidR="00D13DA0" w:rsidRPr="004A7C4C" w:rsidRDefault="004A7C4C" w:rsidP="004A7C4C">
            <w:pPr>
              <w:pStyle w:val="BodyText"/>
              <w:spacing w:before="60" w:after="60"/>
              <w:rPr>
                <w:rFonts w:ascii="Arial Narrow" w:hAnsi="Arial Narrow" w:cs="Arial"/>
                <w:szCs w:val="24"/>
                <w:highlight w:val="yellow"/>
              </w:rPr>
            </w:pPr>
            <w:r w:rsidRPr="004A7C4C">
              <w:rPr>
                <w:rFonts w:ascii="Arial Narrow" w:hAnsi="Arial Narrow" w:cs="Arial"/>
                <w:szCs w:val="24"/>
              </w:rPr>
              <w:t>Section 6</w:t>
            </w:r>
          </w:p>
        </w:tc>
      </w:tr>
      <w:bookmarkEnd w:id="7"/>
    </w:tbl>
    <w:p w14:paraId="6855B13A" w14:textId="77777777" w:rsidR="00687B34" w:rsidRDefault="00687B34" w:rsidP="00BB4747"/>
    <w:p w14:paraId="3A7CDB35" w14:textId="77777777" w:rsidR="001447D6" w:rsidRPr="00140CAE" w:rsidRDefault="005708F5" w:rsidP="00140CAE">
      <w:pPr>
        <w:pStyle w:val="Heading2"/>
      </w:pPr>
      <w:bookmarkStart w:id="8" w:name="_Toc56419052"/>
      <w:r w:rsidRPr="00140CAE">
        <w:t>2</w:t>
      </w:r>
      <w:r w:rsidR="001447D6" w:rsidRPr="00140CAE">
        <w:t>.3</w:t>
      </w:r>
      <w:r w:rsidR="001447D6" w:rsidRPr="00140CAE">
        <w:tab/>
        <w:t>Plan Framework</w:t>
      </w:r>
      <w:bookmarkEnd w:id="8"/>
    </w:p>
    <w:p w14:paraId="62F251A0" w14:textId="77777777" w:rsidR="00B93BCC" w:rsidRPr="00BA6ABB" w:rsidRDefault="00B93BCC" w:rsidP="00DE6DEB">
      <w:r w:rsidRPr="00BA6ABB">
        <w:t xml:space="preserve">Key elements of the AMP are: </w:t>
      </w:r>
    </w:p>
    <w:p w14:paraId="05324B02" w14:textId="77777777" w:rsidR="00B93BCC" w:rsidRDefault="002D50CB" w:rsidP="00DE6DEB">
      <w:pPr>
        <w:pStyle w:val="ListParagraph"/>
        <w:numPr>
          <w:ilvl w:val="0"/>
          <w:numId w:val="39"/>
        </w:numPr>
      </w:pPr>
      <w:r w:rsidRPr="00BA6ABB">
        <w:t>Levels of Service and Enterprise Risk Management – outline</w:t>
      </w:r>
      <w:r>
        <w:t>s</w:t>
      </w:r>
      <w:r w:rsidR="00B93BCC" w:rsidRPr="00BA6ABB">
        <w:t xml:space="preserve"> the levels of service provided by Council and identifies risks to the City.</w:t>
      </w:r>
    </w:p>
    <w:p w14:paraId="75744412" w14:textId="77777777" w:rsidR="002D50CB" w:rsidRPr="00BA6ABB" w:rsidRDefault="002D50CB" w:rsidP="002D50CB">
      <w:pPr>
        <w:pStyle w:val="ListParagraph"/>
      </w:pPr>
    </w:p>
    <w:p w14:paraId="08645729" w14:textId="77777777" w:rsidR="00B93BCC" w:rsidRDefault="00B93BCC" w:rsidP="00DE6DEB">
      <w:pPr>
        <w:pStyle w:val="ListParagraph"/>
        <w:numPr>
          <w:ilvl w:val="0"/>
          <w:numId w:val="39"/>
        </w:numPr>
      </w:pPr>
      <w:r w:rsidRPr="00BA6ABB">
        <w:t>Future Growth and Demand – how this will impact on future service delivery and how this is to be met.</w:t>
      </w:r>
    </w:p>
    <w:p w14:paraId="0C7073AC" w14:textId="77777777" w:rsidR="002D50CB" w:rsidRPr="00BA6ABB" w:rsidRDefault="002D50CB" w:rsidP="002D50CB">
      <w:pPr>
        <w:pStyle w:val="ListParagraph"/>
      </w:pPr>
    </w:p>
    <w:p w14:paraId="511254AA" w14:textId="77777777" w:rsidR="00B93BCC" w:rsidRDefault="00B93BCC" w:rsidP="00DE6DEB">
      <w:pPr>
        <w:pStyle w:val="ListParagraph"/>
        <w:numPr>
          <w:ilvl w:val="0"/>
          <w:numId w:val="39"/>
        </w:numPr>
      </w:pPr>
      <w:r w:rsidRPr="00BA6ABB">
        <w:t>Lifecycle Management – how the City will manage its existing and future assets to provide the required services.</w:t>
      </w:r>
    </w:p>
    <w:p w14:paraId="4746ED07" w14:textId="77777777" w:rsidR="002D50CB" w:rsidRPr="00BA6ABB" w:rsidRDefault="002D50CB" w:rsidP="002D50CB">
      <w:pPr>
        <w:pStyle w:val="ListParagraph"/>
      </w:pPr>
    </w:p>
    <w:p w14:paraId="06FFF545" w14:textId="77777777" w:rsidR="00B93BCC" w:rsidRDefault="00B93BCC" w:rsidP="00DE6DEB">
      <w:pPr>
        <w:pStyle w:val="ListParagraph"/>
        <w:numPr>
          <w:ilvl w:val="0"/>
          <w:numId w:val="39"/>
        </w:numPr>
      </w:pPr>
      <w:r w:rsidRPr="00BA6ABB">
        <w:t>Financial Analysis – what funds are required to provide the required services.</w:t>
      </w:r>
    </w:p>
    <w:p w14:paraId="247115BC" w14:textId="77777777" w:rsidR="002D50CB" w:rsidRPr="00BA6ABB" w:rsidRDefault="002D50CB" w:rsidP="002D50CB">
      <w:pPr>
        <w:pStyle w:val="ListParagraph"/>
      </w:pPr>
    </w:p>
    <w:p w14:paraId="215B9395" w14:textId="77777777" w:rsidR="00B93BCC" w:rsidRDefault="00B93BCC" w:rsidP="00DE6DEB">
      <w:pPr>
        <w:pStyle w:val="ListParagraph"/>
        <w:numPr>
          <w:ilvl w:val="0"/>
          <w:numId w:val="39"/>
        </w:numPr>
      </w:pPr>
      <w:r w:rsidRPr="00BA6ABB">
        <w:t>Asset management practices.</w:t>
      </w:r>
    </w:p>
    <w:p w14:paraId="51397D24" w14:textId="77777777" w:rsidR="002D50CB" w:rsidRPr="00BA6ABB" w:rsidRDefault="002D50CB" w:rsidP="002D50CB">
      <w:pPr>
        <w:pStyle w:val="ListParagraph"/>
      </w:pPr>
    </w:p>
    <w:p w14:paraId="2582A8E5" w14:textId="77777777" w:rsidR="006C5FAC" w:rsidRPr="002D50CB" w:rsidRDefault="00B93BCC" w:rsidP="002D50CB">
      <w:pPr>
        <w:pStyle w:val="ListParagraph"/>
        <w:numPr>
          <w:ilvl w:val="0"/>
          <w:numId w:val="39"/>
        </w:numPr>
      </w:pPr>
      <w:r w:rsidRPr="00BA6ABB">
        <w:t>Asset management monitoring and improvement plan – how the plan will be monitored and improved to ensure it is meeting Council’s objectives.</w:t>
      </w:r>
    </w:p>
    <w:p w14:paraId="2096125D" w14:textId="77777777" w:rsidR="00286C0E" w:rsidRPr="00140CAE" w:rsidRDefault="00286C0E" w:rsidP="00140CAE">
      <w:pPr>
        <w:pStyle w:val="Heading2"/>
      </w:pPr>
      <w:bookmarkStart w:id="9" w:name="_Toc56419053"/>
      <w:r w:rsidRPr="00140CAE">
        <w:t>2.4</w:t>
      </w:r>
      <w:r w:rsidRPr="00140CAE">
        <w:tab/>
      </w:r>
      <w:r w:rsidR="00645F1E" w:rsidRPr="00140CAE">
        <w:t>Asset Management Maturity</w:t>
      </w:r>
      <w:bookmarkEnd w:id="9"/>
    </w:p>
    <w:p w14:paraId="384B43F7" w14:textId="32518D93" w:rsidR="00C21122" w:rsidRPr="00C21122" w:rsidRDefault="00C21122" w:rsidP="001E0D5D">
      <w:r w:rsidRPr="00C21122">
        <w:t xml:space="preserve">The </w:t>
      </w:r>
      <w:r w:rsidR="00F2488D">
        <w:t>20</w:t>
      </w:r>
      <w:r w:rsidR="00EF09E5">
        <w:t>20</w:t>
      </w:r>
      <w:r w:rsidR="0020345B">
        <w:t>-</w:t>
      </w:r>
      <w:r w:rsidR="00F2488D">
        <w:t>2</w:t>
      </w:r>
      <w:r w:rsidR="00446C4C">
        <w:t>4</w:t>
      </w:r>
      <w:r w:rsidR="0020345B">
        <w:t xml:space="preserve"> F</w:t>
      </w:r>
      <w:r w:rsidRPr="00C21122">
        <w:t xml:space="preserve">AMP has been developed in accordance with the International Infrastructure Management Manual (IIMM) and complies with the Department of </w:t>
      </w:r>
      <w:r w:rsidR="00A90714" w:rsidRPr="00BA6ABB">
        <w:t>Local Government &amp; Communities</w:t>
      </w:r>
      <w:r w:rsidRPr="00C21122">
        <w:t xml:space="preserve"> Asset Management Framework.</w:t>
      </w:r>
    </w:p>
    <w:p w14:paraId="3A7B2DD4" w14:textId="77777777" w:rsidR="00AB1B03" w:rsidRPr="00BA6ABB" w:rsidRDefault="00AB1B03" w:rsidP="001E0D5D">
      <w:r w:rsidRPr="00BA6ABB">
        <w:lastRenderedPageBreak/>
        <w:t xml:space="preserve">As part of the City’s Strategic Asset Management Framework, the </w:t>
      </w:r>
      <w:r w:rsidR="00B460B1">
        <w:t>F</w:t>
      </w:r>
      <w:r>
        <w:t>AMP</w:t>
      </w:r>
      <w:r w:rsidRPr="00BA6ABB">
        <w:t xml:space="preserve"> will formalise the City’s future forecasting for </w:t>
      </w:r>
      <w:r w:rsidR="00B460B1">
        <w:t>Footpath</w:t>
      </w:r>
      <w:r w:rsidRPr="00BA6ABB">
        <w:t xml:space="preserve"> Infrastructure, enabling the organisation to determine future budgeting requirements, sustain the current and future asset base, whilst ensuring that optimisation of activities and programs facilitate for the capture and reporting of adopted service levels.</w:t>
      </w:r>
    </w:p>
    <w:p w14:paraId="2299E25A" w14:textId="77777777" w:rsidR="00AB1B03" w:rsidRPr="00BA6ABB" w:rsidRDefault="00AB1B03" w:rsidP="001E0D5D">
      <w:r w:rsidRPr="00BA6ABB">
        <w:t xml:space="preserve">The </w:t>
      </w:r>
      <w:r w:rsidR="00D605AE">
        <w:t>F</w:t>
      </w:r>
      <w:r>
        <w:t>AMP</w:t>
      </w:r>
      <w:r w:rsidRPr="00BA6ABB">
        <w:t xml:space="preserve"> has reached a</w:t>
      </w:r>
      <w:r>
        <w:t>n</w:t>
      </w:r>
      <w:r w:rsidRPr="00BA6ABB">
        <w:t xml:space="preserve"> ‘</w:t>
      </w:r>
      <w:r>
        <w:t>intermediate</w:t>
      </w:r>
      <w:r w:rsidRPr="00BA6ABB">
        <w:t>’ level of maturity and provides Executive level monitoring and reporting of key improvement areas from the Improvement Strategy.</w:t>
      </w:r>
    </w:p>
    <w:p w14:paraId="048D635A" w14:textId="77777777" w:rsidR="00197362" w:rsidRDefault="00AB1B03" w:rsidP="00197362">
      <w:pPr>
        <w:keepNext/>
      </w:pPr>
      <w:r w:rsidRPr="00BA6ABB">
        <w:t>With the continued implementation of the Strategic Asset Management Framework, the City will commence measuring service levels for planned and reactive maintenance to determine operational performance and asset utilisation.</w:t>
      </w:r>
      <w:r w:rsidR="00197362">
        <w:t xml:space="preserve"> </w:t>
      </w:r>
    </w:p>
    <w:p w14:paraId="27C540AF" w14:textId="5B681C42" w:rsidR="00AB1B03" w:rsidRPr="00140CAE" w:rsidRDefault="00197362" w:rsidP="00140CAE">
      <w:pPr>
        <w:keepNext/>
      </w:pPr>
      <w:r>
        <w:t>T</w:t>
      </w:r>
      <w:r w:rsidRPr="00197362">
        <w:t>he City strives to improve its strategic and operational asset management practices and to continue its journey towards advanced asset management. The Department of Local Government, Sport and Cultural Industries (DL</w:t>
      </w:r>
      <w:r w:rsidR="00671295">
        <w:t>GSC</w:t>
      </w:r>
      <w:r w:rsidRPr="00197362">
        <w:t xml:space="preserve">) has developed the Western Australia Local Government Integrated Planning and Reporting Framework. The future direction and need for advanced level practices are continually assessed in accordance with this and the City’s Asset Management Policy. The Integrated Planning and Reporting Framework is shown Figure 2.4.1. </w:t>
      </w:r>
    </w:p>
    <w:p w14:paraId="554F5297" w14:textId="77777777" w:rsidR="00D73799" w:rsidRPr="00140CAE" w:rsidRDefault="00615318" w:rsidP="00616E47">
      <w:pPr>
        <w:keepNext/>
        <w:rPr>
          <w:b/>
          <w:iCs/>
          <w:color w:val="0070C0"/>
          <w:szCs w:val="22"/>
        </w:rPr>
      </w:pPr>
      <w:r w:rsidRPr="00140CAE">
        <w:rPr>
          <w:b/>
          <w:iCs/>
          <w:color w:val="0070C0"/>
          <w:szCs w:val="22"/>
        </w:rPr>
        <w:t>Figure 2.4.1 The City’s Corporate Planning Framework</w:t>
      </w:r>
      <w:r w:rsidR="00445721" w:rsidRPr="00140CAE">
        <w:rPr>
          <w:b/>
          <w:iCs/>
          <w:color w:val="0070C0"/>
          <w:szCs w:val="22"/>
        </w:rPr>
        <w:t xml:space="preserve"> </w:t>
      </w:r>
    </w:p>
    <w:p w14:paraId="5F203C9A" w14:textId="77777777" w:rsidR="00D95710" w:rsidRPr="0006023E" w:rsidRDefault="00D95710" w:rsidP="006A2BA1">
      <w:pPr>
        <w:rPr>
          <w:rFonts w:cs="Arial"/>
          <w:szCs w:val="24"/>
        </w:rPr>
      </w:pPr>
      <w:r w:rsidRPr="00E12743">
        <w:rPr>
          <w:noProof/>
          <w:bdr w:val="single" w:sz="8" w:space="0" w:color="auto"/>
          <w:lang w:eastAsia="en-AU"/>
        </w:rPr>
        <w:drawing>
          <wp:inline distT="0" distB="0" distL="0" distR="0" wp14:anchorId="1A0C5258" wp14:editId="01AD08CD">
            <wp:extent cx="5605154" cy="3490595"/>
            <wp:effectExtent l="19050" t="19050" r="14605" b="14605"/>
            <wp:docPr id="9" name="Picture 9" descr="C:\Users\nmilne\AppData\Local\Microsoft\Windows\Temporary Internet Files\Content.Wor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diagr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6576" cy="3491481"/>
                    </a:xfrm>
                    <a:prstGeom prst="rect">
                      <a:avLst/>
                    </a:prstGeom>
                    <a:solidFill>
                      <a:sysClr val="windowText" lastClr="000000"/>
                    </a:solidFill>
                    <a:ln>
                      <a:solidFill>
                        <a:schemeClr val="tx1"/>
                      </a:solidFill>
                    </a:ln>
                  </pic:spPr>
                </pic:pic>
              </a:graphicData>
            </a:graphic>
          </wp:inline>
        </w:drawing>
      </w:r>
    </w:p>
    <w:p w14:paraId="72C1C04D" w14:textId="77777777" w:rsidR="00615318" w:rsidRDefault="004D2A2F" w:rsidP="006A2BA1">
      <w:r>
        <w:t xml:space="preserve">The FAMP </w:t>
      </w:r>
      <w:r w:rsidR="00615318">
        <w:t>forms part of the City’s Assets Informing Strategies, which consists of the following strategy and asset management plans:</w:t>
      </w:r>
    </w:p>
    <w:p w14:paraId="0DFB3A72" w14:textId="0C0F67CE" w:rsidR="00615318" w:rsidRDefault="00615318" w:rsidP="006A2BA1">
      <w:r>
        <w:lastRenderedPageBreak/>
        <w:t>Asset Management Strategy – 20</w:t>
      </w:r>
      <w:r w:rsidR="0011199F">
        <w:t>1</w:t>
      </w:r>
      <w:r>
        <w:t>7 - 2014</w:t>
      </w:r>
    </w:p>
    <w:p w14:paraId="79FDCD40" w14:textId="77777777" w:rsidR="00AB7B07" w:rsidRPr="00BA6ABB" w:rsidRDefault="00AB7B07" w:rsidP="006A2BA1">
      <w:pPr>
        <w:rPr>
          <w:szCs w:val="24"/>
        </w:rPr>
      </w:pPr>
      <w:r w:rsidRPr="00BA6ABB">
        <w:rPr>
          <w:szCs w:val="24"/>
        </w:rPr>
        <w:t>Buildings AMP - 2020 - 2024</w:t>
      </w:r>
    </w:p>
    <w:p w14:paraId="18B8060A" w14:textId="77777777" w:rsidR="00AB7B07" w:rsidRPr="00BA6ABB" w:rsidRDefault="00AB7B07" w:rsidP="006A2BA1">
      <w:pPr>
        <w:rPr>
          <w:szCs w:val="24"/>
        </w:rPr>
      </w:pPr>
      <w:r w:rsidRPr="00BA6ABB">
        <w:rPr>
          <w:szCs w:val="24"/>
        </w:rPr>
        <w:t>Cockburn Aquatics and Recreation Centre (ARC) AMP – 2020 - 2024</w:t>
      </w:r>
    </w:p>
    <w:p w14:paraId="66CC75C9" w14:textId="77777777" w:rsidR="00AB7B07" w:rsidRPr="00BA6ABB" w:rsidRDefault="00AB7B07" w:rsidP="006A2BA1">
      <w:pPr>
        <w:rPr>
          <w:szCs w:val="24"/>
        </w:rPr>
      </w:pPr>
      <w:r w:rsidRPr="00BA6ABB">
        <w:rPr>
          <w:szCs w:val="24"/>
        </w:rPr>
        <w:t>Drainage AMP - 2020 - 2024</w:t>
      </w:r>
    </w:p>
    <w:p w14:paraId="4CCF9D26" w14:textId="77777777" w:rsidR="00D2212B" w:rsidRDefault="00D2212B" w:rsidP="00D2212B">
      <w:pPr>
        <w:rPr>
          <w:szCs w:val="24"/>
        </w:rPr>
      </w:pPr>
      <w:r w:rsidRPr="00BA6ABB">
        <w:rPr>
          <w:szCs w:val="24"/>
        </w:rPr>
        <w:t>Fleet and Plant AMP - 2020 -</w:t>
      </w:r>
      <w:r w:rsidR="00C50CA3">
        <w:rPr>
          <w:szCs w:val="24"/>
        </w:rPr>
        <w:t xml:space="preserve"> </w:t>
      </w:r>
      <w:r w:rsidRPr="00BA6ABB">
        <w:rPr>
          <w:szCs w:val="24"/>
        </w:rPr>
        <w:t>2024</w:t>
      </w:r>
    </w:p>
    <w:p w14:paraId="53CCA1AE" w14:textId="77777777" w:rsidR="00D2212B" w:rsidRPr="00D734C6" w:rsidRDefault="00D2212B" w:rsidP="00D2212B">
      <w:pPr>
        <w:rPr>
          <w:szCs w:val="24"/>
        </w:rPr>
      </w:pPr>
      <w:r w:rsidRPr="00D734C6">
        <w:rPr>
          <w:szCs w:val="24"/>
        </w:rPr>
        <w:t>Mari</w:t>
      </w:r>
      <w:r w:rsidR="00727F7C">
        <w:rPr>
          <w:szCs w:val="24"/>
        </w:rPr>
        <w:t xml:space="preserve">na and Coastal Infrastructure </w:t>
      </w:r>
      <w:r w:rsidRPr="00D734C6">
        <w:rPr>
          <w:szCs w:val="24"/>
        </w:rPr>
        <w:t xml:space="preserve">AMP - </w:t>
      </w:r>
      <w:r w:rsidRPr="00A826E8">
        <w:rPr>
          <w:szCs w:val="24"/>
        </w:rPr>
        <w:t>2020 -</w:t>
      </w:r>
      <w:r w:rsidR="00C50CA3">
        <w:rPr>
          <w:szCs w:val="24"/>
        </w:rPr>
        <w:t xml:space="preserve"> </w:t>
      </w:r>
      <w:r w:rsidRPr="00A826E8">
        <w:rPr>
          <w:szCs w:val="24"/>
        </w:rPr>
        <w:t>2024</w:t>
      </w:r>
    </w:p>
    <w:p w14:paraId="6C63791C" w14:textId="77777777" w:rsidR="00D2212B" w:rsidRDefault="00D2212B" w:rsidP="00D2212B">
      <w:pPr>
        <w:rPr>
          <w:szCs w:val="24"/>
        </w:rPr>
      </w:pPr>
      <w:r w:rsidRPr="00BA6ABB">
        <w:rPr>
          <w:szCs w:val="24"/>
        </w:rPr>
        <w:t>Parks &amp; Environment AMP - 2020 -</w:t>
      </w:r>
      <w:r w:rsidR="00C50CA3">
        <w:rPr>
          <w:szCs w:val="24"/>
        </w:rPr>
        <w:t xml:space="preserve"> </w:t>
      </w:r>
      <w:r w:rsidRPr="00BA6ABB">
        <w:rPr>
          <w:szCs w:val="24"/>
        </w:rPr>
        <w:t>2024</w:t>
      </w:r>
    </w:p>
    <w:p w14:paraId="3F2A0C66" w14:textId="77777777" w:rsidR="00AB7B07" w:rsidRDefault="00AB7B07" w:rsidP="006A2BA1">
      <w:pPr>
        <w:rPr>
          <w:szCs w:val="24"/>
        </w:rPr>
      </w:pPr>
      <w:r>
        <w:rPr>
          <w:szCs w:val="24"/>
        </w:rPr>
        <w:t>Road</w:t>
      </w:r>
      <w:r w:rsidRPr="00BA6ABB">
        <w:rPr>
          <w:szCs w:val="24"/>
        </w:rPr>
        <w:t xml:space="preserve"> AMP - 2020 </w:t>
      </w:r>
      <w:r w:rsidR="0006023E">
        <w:rPr>
          <w:szCs w:val="24"/>
        </w:rPr>
        <w:t>–</w:t>
      </w:r>
      <w:r w:rsidRPr="00BA6ABB">
        <w:rPr>
          <w:szCs w:val="24"/>
        </w:rPr>
        <w:t xml:space="preserve"> 2024</w:t>
      </w:r>
    </w:p>
    <w:p w14:paraId="4B2A8E2E" w14:textId="77777777" w:rsidR="00954BC5" w:rsidRPr="00F26D02" w:rsidRDefault="00954BC5" w:rsidP="00140CAE">
      <w:pPr>
        <w:pStyle w:val="Heading2"/>
      </w:pPr>
      <w:bookmarkStart w:id="10" w:name="_Toc54964810"/>
      <w:bookmarkStart w:id="11" w:name="_Toc56419054"/>
      <w:r w:rsidRPr="009C794B">
        <w:t>2.</w:t>
      </w:r>
      <w:r>
        <w:t>5</w:t>
      </w:r>
      <w:r w:rsidRPr="009C794B">
        <w:tab/>
      </w:r>
      <w:r w:rsidR="0006023E">
        <w:t>Asset Management Plan Maturity -</w:t>
      </w:r>
      <w:r w:rsidR="00304C59">
        <w:t xml:space="preserve"> Data Confidence A</w:t>
      </w:r>
      <w:r w:rsidRPr="00F26D02">
        <w:t>ssessment</w:t>
      </w:r>
      <w:bookmarkEnd w:id="10"/>
      <w:bookmarkEnd w:id="11"/>
    </w:p>
    <w:p w14:paraId="3A9D4E7B" w14:textId="77777777" w:rsidR="00516A20" w:rsidRDefault="00516A20" w:rsidP="00516A20">
      <w:pPr>
        <w:keepNext/>
      </w:pPr>
      <w:r w:rsidRPr="00516A20">
        <w:t>Each of the five sections within the</w:t>
      </w:r>
      <w:r>
        <w:t xml:space="preserve"> FAMP</w:t>
      </w:r>
      <w:r w:rsidRPr="00516A20">
        <w:t xml:space="preserve"> were reviewed to determine Stakeholder confidence as to the accuracy and maturity of the City’s asset data and services</w:t>
      </w:r>
      <w:r>
        <w:t>.</w:t>
      </w:r>
    </w:p>
    <w:p w14:paraId="3FD8A15F" w14:textId="77777777" w:rsidR="00516A20" w:rsidRPr="00140CAE" w:rsidRDefault="00516A20" w:rsidP="00516A20">
      <w:pPr>
        <w:keepNext/>
        <w:rPr>
          <w:b/>
          <w:iCs/>
          <w:color w:val="4BACC6" w:themeColor="accent5"/>
          <w:szCs w:val="22"/>
        </w:rPr>
      </w:pPr>
      <w:r w:rsidRPr="00516A20">
        <w:t xml:space="preserve"> </w:t>
      </w:r>
      <w:r w:rsidRPr="00140CAE">
        <w:rPr>
          <w:b/>
          <w:iCs/>
          <w:color w:val="0070C0"/>
          <w:szCs w:val="22"/>
        </w:rPr>
        <w:t xml:space="preserve">Table 2.5.1 </w:t>
      </w:r>
      <w:r w:rsidRPr="00140CAE">
        <w:rPr>
          <w:b/>
          <w:iCs/>
          <w:color w:val="0070C0"/>
          <w:szCs w:val="22"/>
        </w:rPr>
        <w:tab/>
        <w:t>Data Accuracy</w:t>
      </w:r>
    </w:p>
    <w:tbl>
      <w:tblPr>
        <w:tblW w:w="5000" w:type="pct"/>
        <w:tblLook w:val="04A0" w:firstRow="1" w:lastRow="0" w:firstColumn="1" w:lastColumn="0" w:noHBand="0" w:noVBand="1"/>
      </w:tblPr>
      <w:tblGrid>
        <w:gridCol w:w="1690"/>
        <w:gridCol w:w="5884"/>
        <w:gridCol w:w="1669"/>
      </w:tblGrid>
      <w:tr w:rsidR="001918DF" w:rsidRPr="001918DF" w14:paraId="07987BFE" w14:textId="77777777" w:rsidTr="002959C3">
        <w:trPr>
          <w:trHeight w:val="660"/>
        </w:trPr>
        <w:tc>
          <w:tcPr>
            <w:tcW w:w="914" w:type="pct"/>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74B3876F" w14:textId="77777777" w:rsidR="001918DF" w:rsidRPr="00FC6604" w:rsidRDefault="001918DF" w:rsidP="001918DF">
            <w:pPr>
              <w:spacing w:after="0" w:line="240" w:lineRule="auto"/>
              <w:rPr>
                <w:rFonts w:ascii="Arial Narrow" w:hAnsi="Arial Narrow" w:cs="Arial"/>
                <w:b/>
                <w:bCs/>
                <w:color w:val="FFFFFF"/>
                <w:szCs w:val="24"/>
                <w:lang w:eastAsia="en-AU"/>
              </w:rPr>
            </w:pPr>
            <w:r w:rsidRPr="00FC6604">
              <w:rPr>
                <w:rFonts w:ascii="Arial Narrow" w:hAnsi="Arial Narrow" w:cs="Arial"/>
                <w:b/>
                <w:bCs/>
                <w:color w:val="FFFFFF"/>
                <w:szCs w:val="24"/>
                <w:lang w:eastAsia="en-AU"/>
              </w:rPr>
              <w:t>AMP</w:t>
            </w:r>
          </w:p>
        </w:tc>
        <w:tc>
          <w:tcPr>
            <w:tcW w:w="3183" w:type="pct"/>
            <w:tcBorders>
              <w:top w:val="single" w:sz="8" w:space="0" w:color="auto"/>
              <w:left w:val="nil"/>
              <w:bottom w:val="thinThickSmallGap" w:sz="24" w:space="0" w:color="auto"/>
              <w:right w:val="single" w:sz="8" w:space="0" w:color="FFFFFF"/>
            </w:tcBorders>
            <w:shd w:val="clear" w:color="000000" w:fill="4BACC6"/>
            <w:vAlign w:val="center"/>
            <w:hideMark/>
          </w:tcPr>
          <w:p w14:paraId="265FA9EF" w14:textId="77777777" w:rsidR="001918DF" w:rsidRPr="00FC6604" w:rsidRDefault="001918DF" w:rsidP="001918DF">
            <w:pPr>
              <w:spacing w:after="0" w:line="240" w:lineRule="auto"/>
              <w:rPr>
                <w:rFonts w:ascii="Arial Narrow" w:hAnsi="Arial Narrow" w:cs="Arial"/>
                <w:b/>
                <w:bCs/>
                <w:color w:val="FFFFFF"/>
                <w:szCs w:val="24"/>
                <w:lang w:eastAsia="en-AU"/>
              </w:rPr>
            </w:pPr>
            <w:r w:rsidRPr="00FC6604">
              <w:rPr>
                <w:rFonts w:ascii="Arial Narrow" w:hAnsi="Arial Narrow" w:cs="Arial"/>
                <w:b/>
                <w:bCs/>
                <w:color w:val="FFFFFF"/>
                <w:szCs w:val="24"/>
                <w:lang w:eastAsia="en-AU"/>
              </w:rPr>
              <w:t xml:space="preserve">Contents </w:t>
            </w:r>
          </w:p>
        </w:tc>
        <w:tc>
          <w:tcPr>
            <w:tcW w:w="903" w:type="pct"/>
            <w:tcBorders>
              <w:top w:val="single" w:sz="8" w:space="0" w:color="auto"/>
              <w:left w:val="nil"/>
              <w:bottom w:val="thinThickSmallGap" w:sz="24" w:space="0" w:color="auto"/>
              <w:right w:val="single" w:sz="8" w:space="0" w:color="auto"/>
            </w:tcBorders>
            <w:shd w:val="clear" w:color="000000" w:fill="4BACC6"/>
            <w:vAlign w:val="center"/>
            <w:hideMark/>
          </w:tcPr>
          <w:p w14:paraId="3F06EBFF" w14:textId="77777777" w:rsidR="001918DF" w:rsidRPr="00FC6604" w:rsidRDefault="001918DF" w:rsidP="00B4651D">
            <w:pPr>
              <w:spacing w:after="0" w:line="240" w:lineRule="auto"/>
              <w:jc w:val="center"/>
              <w:rPr>
                <w:rFonts w:ascii="Arial Narrow" w:hAnsi="Arial Narrow" w:cs="Arial"/>
                <w:b/>
                <w:bCs/>
                <w:color w:val="FFFFFF"/>
                <w:szCs w:val="24"/>
                <w:lang w:eastAsia="en-AU"/>
              </w:rPr>
            </w:pPr>
            <w:r w:rsidRPr="00FC6604">
              <w:rPr>
                <w:rFonts w:ascii="Arial Narrow" w:hAnsi="Arial Narrow" w:cs="Arial"/>
                <w:b/>
                <w:bCs/>
                <w:color w:val="FFFFFF"/>
                <w:szCs w:val="24"/>
                <w:lang w:eastAsia="en-AU"/>
              </w:rPr>
              <w:t xml:space="preserve">Data </w:t>
            </w:r>
            <w:r w:rsidR="00B4651D" w:rsidRPr="00FC6604">
              <w:rPr>
                <w:rFonts w:ascii="Arial Narrow" w:hAnsi="Arial Narrow" w:cs="Arial"/>
                <w:b/>
                <w:bCs/>
                <w:color w:val="FFFFFF"/>
                <w:szCs w:val="24"/>
                <w:lang w:eastAsia="en-AU"/>
              </w:rPr>
              <w:t>Accuracy</w:t>
            </w:r>
          </w:p>
        </w:tc>
      </w:tr>
      <w:tr w:rsidR="001918DF" w:rsidRPr="001918DF" w14:paraId="17CDE5ED" w14:textId="77777777" w:rsidTr="002959C3">
        <w:trPr>
          <w:trHeight w:val="559"/>
        </w:trPr>
        <w:tc>
          <w:tcPr>
            <w:tcW w:w="914" w:type="pct"/>
            <w:tcBorders>
              <w:top w:val="thinThickSmallGap" w:sz="24" w:space="0" w:color="auto"/>
              <w:left w:val="single" w:sz="8" w:space="0" w:color="auto"/>
              <w:bottom w:val="single" w:sz="8" w:space="0" w:color="FFFFFF"/>
              <w:right w:val="thinThickSmallGap" w:sz="24" w:space="0" w:color="auto"/>
            </w:tcBorders>
            <w:shd w:val="clear" w:color="000000" w:fill="B6DDE8"/>
            <w:vAlign w:val="center"/>
            <w:hideMark/>
          </w:tcPr>
          <w:p w14:paraId="7FD97764"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Section 2</w:t>
            </w:r>
          </w:p>
        </w:tc>
        <w:tc>
          <w:tcPr>
            <w:tcW w:w="3183" w:type="pct"/>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54C63967"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 xml:space="preserve">Strategic goals &amp; objectives </w:t>
            </w:r>
          </w:p>
        </w:tc>
        <w:tc>
          <w:tcPr>
            <w:tcW w:w="903" w:type="pct"/>
            <w:tcBorders>
              <w:top w:val="thinThickSmallGap" w:sz="24" w:space="0" w:color="auto"/>
              <w:left w:val="nil"/>
              <w:bottom w:val="single" w:sz="8" w:space="0" w:color="FFFFFF"/>
              <w:right w:val="single" w:sz="8" w:space="0" w:color="auto"/>
            </w:tcBorders>
            <w:shd w:val="clear" w:color="000000" w:fill="B6DDE8"/>
            <w:vAlign w:val="center"/>
            <w:hideMark/>
          </w:tcPr>
          <w:p w14:paraId="53950AD8" w14:textId="77777777" w:rsidR="001918DF" w:rsidRPr="00FC6604" w:rsidRDefault="001918DF" w:rsidP="001918DF">
            <w:pPr>
              <w:spacing w:after="0" w:line="240" w:lineRule="auto"/>
              <w:jc w:val="center"/>
              <w:rPr>
                <w:rFonts w:ascii="Arial Narrow" w:hAnsi="Arial Narrow" w:cs="Arial"/>
                <w:b/>
                <w:bCs/>
                <w:color w:val="000000"/>
                <w:szCs w:val="24"/>
                <w:lang w:eastAsia="en-AU"/>
              </w:rPr>
            </w:pPr>
            <w:r w:rsidRPr="00FC6604">
              <w:rPr>
                <w:rFonts w:ascii="Arial Narrow" w:hAnsi="Arial Narrow" w:cs="Arial"/>
                <w:b/>
                <w:bCs/>
                <w:color w:val="000000"/>
                <w:szCs w:val="24"/>
                <w:lang w:eastAsia="en-AU"/>
              </w:rPr>
              <w:t>A</w:t>
            </w:r>
          </w:p>
        </w:tc>
      </w:tr>
      <w:tr w:rsidR="001918DF" w:rsidRPr="001918DF" w14:paraId="3EFBB863" w14:textId="77777777" w:rsidTr="002959C3">
        <w:trPr>
          <w:trHeight w:val="559"/>
        </w:trPr>
        <w:tc>
          <w:tcPr>
            <w:tcW w:w="914" w:type="pct"/>
            <w:vMerge w:val="restart"/>
            <w:tcBorders>
              <w:top w:val="nil"/>
              <w:left w:val="single" w:sz="8" w:space="0" w:color="auto"/>
              <w:bottom w:val="single" w:sz="8" w:space="0" w:color="FFFFFF"/>
              <w:right w:val="thinThickSmallGap" w:sz="24" w:space="0" w:color="auto"/>
            </w:tcBorders>
            <w:shd w:val="clear" w:color="000000" w:fill="DAEEF3"/>
            <w:vAlign w:val="center"/>
            <w:hideMark/>
          </w:tcPr>
          <w:p w14:paraId="50FA6653"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Section 3</w:t>
            </w:r>
          </w:p>
        </w:tc>
        <w:tc>
          <w:tcPr>
            <w:tcW w:w="3183" w:type="pct"/>
            <w:tcBorders>
              <w:top w:val="single" w:sz="8" w:space="0" w:color="FFFFFF"/>
              <w:left w:val="thinThickSmallGap" w:sz="24" w:space="0" w:color="auto"/>
              <w:bottom w:val="single" w:sz="8" w:space="0" w:color="FFFFFF"/>
              <w:right w:val="single" w:sz="8" w:space="0" w:color="FFFFFF"/>
            </w:tcBorders>
            <w:shd w:val="clear" w:color="000000" w:fill="DAEEF3"/>
            <w:vAlign w:val="center"/>
            <w:hideMark/>
          </w:tcPr>
          <w:p w14:paraId="313464F5"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Levels of Service</w:t>
            </w:r>
          </w:p>
        </w:tc>
        <w:tc>
          <w:tcPr>
            <w:tcW w:w="903" w:type="pct"/>
            <w:vMerge w:val="restart"/>
            <w:tcBorders>
              <w:top w:val="nil"/>
              <w:left w:val="single" w:sz="8" w:space="0" w:color="FFFFFF"/>
              <w:bottom w:val="single" w:sz="8" w:space="0" w:color="FFFFFF"/>
              <w:right w:val="single" w:sz="8" w:space="0" w:color="auto"/>
            </w:tcBorders>
            <w:shd w:val="clear" w:color="000000" w:fill="DAEEF3"/>
            <w:vAlign w:val="center"/>
            <w:hideMark/>
          </w:tcPr>
          <w:p w14:paraId="4211C692" w14:textId="77777777" w:rsidR="001918DF" w:rsidRPr="00FC6604" w:rsidRDefault="001918DF" w:rsidP="001918DF">
            <w:pPr>
              <w:spacing w:after="0" w:line="240" w:lineRule="auto"/>
              <w:jc w:val="center"/>
              <w:rPr>
                <w:rFonts w:ascii="Arial Narrow" w:hAnsi="Arial Narrow" w:cs="Arial"/>
                <w:b/>
                <w:bCs/>
                <w:color w:val="000000"/>
                <w:szCs w:val="24"/>
                <w:lang w:eastAsia="en-AU"/>
              </w:rPr>
            </w:pPr>
            <w:r w:rsidRPr="00FC6604">
              <w:rPr>
                <w:rFonts w:ascii="Arial Narrow" w:hAnsi="Arial Narrow" w:cs="Arial"/>
                <w:b/>
                <w:bCs/>
                <w:color w:val="000000"/>
                <w:szCs w:val="24"/>
                <w:lang w:eastAsia="en-AU"/>
              </w:rPr>
              <w:t>A</w:t>
            </w:r>
          </w:p>
        </w:tc>
      </w:tr>
      <w:tr w:rsidR="001918DF" w:rsidRPr="001918DF" w14:paraId="4D69DAC5" w14:textId="77777777" w:rsidTr="002959C3">
        <w:trPr>
          <w:trHeight w:val="559"/>
        </w:trPr>
        <w:tc>
          <w:tcPr>
            <w:tcW w:w="914" w:type="pct"/>
            <w:vMerge/>
            <w:tcBorders>
              <w:top w:val="nil"/>
              <w:left w:val="single" w:sz="8" w:space="0" w:color="auto"/>
              <w:bottom w:val="single" w:sz="8" w:space="0" w:color="FFFFFF"/>
              <w:right w:val="thinThickSmallGap" w:sz="24" w:space="0" w:color="auto"/>
            </w:tcBorders>
            <w:vAlign w:val="center"/>
            <w:hideMark/>
          </w:tcPr>
          <w:p w14:paraId="59DD96A3" w14:textId="77777777" w:rsidR="001918DF" w:rsidRPr="00FC6604" w:rsidRDefault="001918DF" w:rsidP="001918DF">
            <w:pPr>
              <w:spacing w:after="0" w:line="240" w:lineRule="auto"/>
              <w:jc w:val="left"/>
              <w:rPr>
                <w:rFonts w:ascii="Arial Narrow" w:hAnsi="Arial Narrow" w:cs="Arial"/>
                <w:color w:val="000000"/>
                <w:szCs w:val="24"/>
                <w:lang w:eastAsia="en-AU"/>
              </w:rPr>
            </w:pPr>
          </w:p>
        </w:tc>
        <w:tc>
          <w:tcPr>
            <w:tcW w:w="3183" w:type="pct"/>
            <w:tcBorders>
              <w:top w:val="single" w:sz="8" w:space="0" w:color="FFFFFF"/>
              <w:left w:val="thinThickSmallGap" w:sz="24" w:space="0" w:color="auto"/>
              <w:bottom w:val="single" w:sz="8" w:space="0" w:color="FFFFFF"/>
              <w:right w:val="single" w:sz="8" w:space="0" w:color="FFFFFF"/>
            </w:tcBorders>
            <w:shd w:val="clear" w:color="000000" w:fill="DAEEF3"/>
            <w:vAlign w:val="center"/>
            <w:hideMark/>
          </w:tcPr>
          <w:p w14:paraId="24E8E1E7"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Risk Management</w:t>
            </w:r>
          </w:p>
        </w:tc>
        <w:tc>
          <w:tcPr>
            <w:tcW w:w="903" w:type="pct"/>
            <w:vMerge/>
            <w:tcBorders>
              <w:top w:val="nil"/>
              <w:left w:val="single" w:sz="8" w:space="0" w:color="FFFFFF"/>
              <w:bottom w:val="single" w:sz="8" w:space="0" w:color="FFFFFF"/>
              <w:right w:val="single" w:sz="8" w:space="0" w:color="auto"/>
            </w:tcBorders>
            <w:vAlign w:val="center"/>
            <w:hideMark/>
          </w:tcPr>
          <w:p w14:paraId="152F29F8" w14:textId="77777777" w:rsidR="001918DF" w:rsidRPr="00FC6604" w:rsidRDefault="001918DF" w:rsidP="001918DF">
            <w:pPr>
              <w:spacing w:after="0" w:line="240" w:lineRule="auto"/>
              <w:jc w:val="left"/>
              <w:rPr>
                <w:rFonts w:ascii="Arial Narrow" w:hAnsi="Arial Narrow" w:cs="Arial"/>
                <w:b/>
                <w:bCs/>
                <w:color w:val="000000"/>
                <w:szCs w:val="24"/>
                <w:lang w:eastAsia="en-AU"/>
              </w:rPr>
            </w:pPr>
          </w:p>
        </w:tc>
      </w:tr>
      <w:tr w:rsidR="001918DF" w:rsidRPr="001918DF" w14:paraId="0924A215" w14:textId="77777777" w:rsidTr="002959C3">
        <w:trPr>
          <w:trHeight w:val="559"/>
        </w:trPr>
        <w:tc>
          <w:tcPr>
            <w:tcW w:w="914" w:type="pct"/>
            <w:tcBorders>
              <w:top w:val="nil"/>
              <w:left w:val="single" w:sz="8" w:space="0" w:color="auto"/>
              <w:bottom w:val="single" w:sz="8" w:space="0" w:color="FFFFFF"/>
              <w:right w:val="thinThickSmallGap" w:sz="24" w:space="0" w:color="auto"/>
            </w:tcBorders>
            <w:shd w:val="clear" w:color="000000" w:fill="B6DDE8"/>
            <w:vAlign w:val="center"/>
            <w:hideMark/>
          </w:tcPr>
          <w:p w14:paraId="70FAA2F0"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Section 4</w:t>
            </w:r>
          </w:p>
        </w:tc>
        <w:tc>
          <w:tcPr>
            <w:tcW w:w="3183" w:type="pct"/>
            <w:tcBorders>
              <w:top w:val="single" w:sz="8" w:space="0" w:color="FFFFFF"/>
              <w:left w:val="thinThickSmallGap" w:sz="24" w:space="0" w:color="auto"/>
              <w:bottom w:val="single" w:sz="8" w:space="0" w:color="FFFFFF"/>
              <w:right w:val="single" w:sz="8" w:space="0" w:color="FFFFFF"/>
            </w:tcBorders>
            <w:shd w:val="clear" w:color="000000" w:fill="B6DDE8"/>
            <w:vAlign w:val="center"/>
            <w:hideMark/>
          </w:tcPr>
          <w:p w14:paraId="5A49B631"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Growth, Demand, New Assets</w:t>
            </w:r>
          </w:p>
        </w:tc>
        <w:tc>
          <w:tcPr>
            <w:tcW w:w="903" w:type="pct"/>
            <w:tcBorders>
              <w:top w:val="nil"/>
              <w:left w:val="nil"/>
              <w:bottom w:val="single" w:sz="8" w:space="0" w:color="FFFFFF"/>
              <w:right w:val="single" w:sz="8" w:space="0" w:color="auto"/>
            </w:tcBorders>
            <w:shd w:val="clear" w:color="000000" w:fill="B6DDE8"/>
            <w:vAlign w:val="center"/>
            <w:hideMark/>
          </w:tcPr>
          <w:p w14:paraId="58DF49F2" w14:textId="77777777" w:rsidR="001918DF" w:rsidRPr="00FC6604" w:rsidRDefault="001918DF" w:rsidP="001918DF">
            <w:pPr>
              <w:spacing w:after="0" w:line="240" w:lineRule="auto"/>
              <w:jc w:val="center"/>
              <w:rPr>
                <w:rFonts w:ascii="Arial Narrow" w:hAnsi="Arial Narrow" w:cs="Arial"/>
                <w:b/>
                <w:bCs/>
                <w:color w:val="000000"/>
                <w:szCs w:val="24"/>
                <w:lang w:eastAsia="en-AU"/>
              </w:rPr>
            </w:pPr>
            <w:r w:rsidRPr="00FC6604">
              <w:rPr>
                <w:rFonts w:ascii="Arial Narrow" w:hAnsi="Arial Narrow" w:cs="Arial"/>
                <w:b/>
                <w:bCs/>
                <w:color w:val="000000"/>
                <w:szCs w:val="24"/>
                <w:lang w:eastAsia="en-AU"/>
              </w:rPr>
              <w:t>A</w:t>
            </w:r>
          </w:p>
        </w:tc>
      </w:tr>
      <w:tr w:rsidR="001918DF" w:rsidRPr="001918DF" w14:paraId="69B142F1" w14:textId="77777777" w:rsidTr="002959C3">
        <w:trPr>
          <w:trHeight w:val="559"/>
        </w:trPr>
        <w:tc>
          <w:tcPr>
            <w:tcW w:w="914" w:type="pct"/>
            <w:vMerge w:val="restart"/>
            <w:tcBorders>
              <w:top w:val="nil"/>
              <w:left w:val="single" w:sz="8" w:space="0" w:color="auto"/>
              <w:bottom w:val="single" w:sz="8" w:space="0" w:color="FFFFFF"/>
              <w:right w:val="thinThickSmallGap" w:sz="24" w:space="0" w:color="auto"/>
            </w:tcBorders>
            <w:shd w:val="clear" w:color="000000" w:fill="DAEEF3"/>
            <w:vAlign w:val="center"/>
            <w:hideMark/>
          </w:tcPr>
          <w:p w14:paraId="5D6AB8F3"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Section 5</w:t>
            </w:r>
          </w:p>
        </w:tc>
        <w:tc>
          <w:tcPr>
            <w:tcW w:w="3183" w:type="pct"/>
            <w:tcBorders>
              <w:top w:val="single" w:sz="8" w:space="0" w:color="FFFFFF"/>
              <w:left w:val="thinThickSmallGap" w:sz="24" w:space="0" w:color="auto"/>
              <w:bottom w:val="single" w:sz="8" w:space="0" w:color="FFFFFF"/>
              <w:right w:val="single" w:sz="8" w:space="0" w:color="FFFFFF"/>
            </w:tcBorders>
            <w:shd w:val="clear" w:color="000000" w:fill="DAEEF3"/>
            <w:vAlign w:val="center"/>
            <w:hideMark/>
          </w:tcPr>
          <w:p w14:paraId="62461A64"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Asset data; Age, Condition</w:t>
            </w:r>
          </w:p>
        </w:tc>
        <w:tc>
          <w:tcPr>
            <w:tcW w:w="903" w:type="pct"/>
            <w:vMerge w:val="restart"/>
            <w:tcBorders>
              <w:top w:val="nil"/>
              <w:left w:val="single" w:sz="8" w:space="0" w:color="FFFFFF"/>
              <w:bottom w:val="single" w:sz="8" w:space="0" w:color="FFFFFF"/>
              <w:right w:val="single" w:sz="8" w:space="0" w:color="auto"/>
            </w:tcBorders>
            <w:shd w:val="clear" w:color="000000" w:fill="DAEEF3"/>
            <w:vAlign w:val="center"/>
            <w:hideMark/>
          </w:tcPr>
          <w:p w14:paraId="366F5F8C" w14:textId="77777777" w:rsidR="001918DF" w:rsidRPr="00FC6604" w:rsidRDefault="002641B4" w:rsidP="001918DF">
            <w:pPr>
              <w:spacing w:after="0" w:line="240" w:lineRule="auto"/>
              <w:jc w:val="center"/>
              <w:rPr>
                <w:rFonts w:ascii="Arial Narrow" w:hAnsi="Arial Narrow" w:cs="Arial"/>
                <w:b/>
                <w:bCs/>
                <w:color w:val="000000"/>
                <w:szCs w:val="24"/>
                <w:lang w:eastAsia="en-AU"/>
              </w:rPr>
            </w:pPr>
            <w:r w:rsidRPr="00FC6604">
              <w:rPr>
                <w:rFonts w:ascii="Arial Narrow" w:hAnsi="Arial Narrow" w:cs="Arial"/>
                <w:b/>
                <w:bCs/>
                <w:color w:val="000000"/>
                <w:szCs w:val="24"/>
                <w:lang w:eastAsia="en-AU"/>
              </w:rPr>
              <w:t>B</w:t>
            </w:r>
          </w:p>
        </w:tc>
      </w:tr>
      <w:tr w:rsidR="001918DF" w:rsidRPr="001918DF" w14:paraId="303CE3A0" w14:textId="77777777" w:rsidTr="00FC6604">
        <w:trPr>
          <w:trHeight w:val="618"/>
        </w:trPr>
        <w:tc>
          <w:tcPr>
            <w:tcW w:w="914" w:type="pct"/>
            <w:vMerge/>
            <w:tcBorders>
              <w:top w:val="nil"/>
              <w:left w:val="single" w:sz="8" w:space="0" w:color="auto"/>
              <w:bottom w:val="single" w:sz="8" w:space="0" w:color="FFFFFF"/>
              <w:right w:val="thinThickSmallGap" w:sz="24" w:space="0" w:color="auto"/>
            </w:tcBorders>
            <w:vAlign w:val="center"/>
            <w:hideMark/>
          </w:tcPr>
          <w:p w14:paraId="50620386" w14:textId="77777777" w:rsidR="001918DF" w:rsidRPr="00FC6604" w:rsidRDefault="001918DF" w:rsidP="001918DF">
            <w:pPr>
              <w:spacing w:after="0" w:line="240" w:lineRule="auto"/>
              <w:jc w:val="left"/>
              <w:rPr>
                <w:rFonts w:ascii="Arial Narrow" w:hAnsi="Arial Narrow" w:cs="Arial"/>
                <w:color w:val="000000"/>
                <w:szCs w:val="24"/>
                <w:lang w:eastAsia="en-AU"/>
              </w:rPr>
            </w:pPr>
          </w:p>
        </w:tc>
        <w:tc>
          <w:tcPr>
            <w:tcW w:w="3183" w:type="pct"/>
            <w:tcBorders>
              <w:top w:val="single" w:sz="8" w:space="0" w:color="FFFFFF"/>
              <w:left w:val="thinThickSmallGap" w:sz="24" w:space="0" w:color="auto"/>
              <w:bottom w:val="single" w:sz="8" w:space="0" w:color="FFFFFF"/>
              <w:right w:val="single" w:sz="8" w:space="0" w:color="FFFFFF"/>
            </w:tcBorders>
            <w:shd w:val="clear" w:color="000000" w:fill="DAEEF3"/>
            <w:vAlign w:val="center"/>
            <w:hideMark/>
          </w:tcPr>
          <w:p w14:paraId="5B2DFBB4"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Operating &amp; Maintenance Expenditure, Renewal Expenditure</w:t>
            </w:r>
          </w:p>
        </w:tc>
        <w:tc>
          <w:tcPr>
            <w:tcW w:w="903" w:type="pct"/>
            <w:vMerge/>
            <w:tcBorders>
              <w:top w:val="nil"/>
              <w:left w:val="single" w:sz="8" w:space="0" w:color="FFFFFF"/>
              <w:bottom w:val="single" w:sz="8" w:space="0" w:color="FFFFFF"/>
              <w:right w:val="single" w:sz="8" w:space="0" w:color="auto"/>
            </w:tcBorders>
            <w:vAlign w:val="center"/>
            <w:hideMark/>
          </w:tcPr>
          <w:p w14:paraId="0E1E01EF" w14:textId="77777777" w:rsidR="001918DF" w:rsidRPr="00FC6604" w:rsidRDefault="001918DF" w:rsidP="001918DF">
            <w:pPr>
              <w:spacing w:after="0" w:line="240" w:lineRule="auto"/>
              <w:jc w:val="left"/>
              <w:rPr>
                <w:rFonts w:ascii="Arial Narrow" w:hAnsi="Arial Narrow" w:cs="Arial"/>
                <w:b/>
                <w:bCs/>
                <w:color w:val="000000"/>
                <w:szCs w:val="24"/>
                <w:lang w:eastAsia="en-AU"/>
              </w:rPr>
            </w:pPr>
          </w:p>
        </w:tc>
      </w:tr>
      <w:tr w:rsidR="001918DF" w:rsidRPr="001918DF" w14:paraId="56484E00" w14:textId="77777777" w:rsidTr="002959C3">
        <w:trPr>
          <w:trHeight w:val="559"/>
        </w:trPr>
        <w:tc>
          <w:tcPr>
            <w:tcW w:w="914" w:type="pct"/>
            <w:tcBorders>
              <w:top w:val="nil"/>
              <w:left w:val="single" w:sz="8" w:space="0" w:color="auto"/>
              <w:bottom w:val="single" w:sz="8" w:space="0" w:color="auto"/>
              <w:right w:val="thinThickSmallGap" w:sz="24" w:space="0" w:color="auto"/>
            </w:tcBorders>
            <w:shd w:val="clear" w:color="000000" w:fill="B6DDE8"/>
            <w:vAlign w:val="center"/>
            <w:hideMark/>
          </w:tcPr>
          <w:p w14:paraId="2AF534A3"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Section 6</w:t>
            </w:r>
          </w:p>
        </w:tc>
        <w:tc>
          <w:tcPr>
            <w:tcW w:w="3183" w:type="pct"/>
            <w:tcBorders>
              <w:top w:val="single" w:sz="8" w:space="0" w:color="FFFFFF"/>
              <w:left w:val="thinThickSmallGap" w:sz="24" w:space="0" w:color="auto"/>
              <w:bottom w:val="single" w:sz="8" w:space="0" w:color="auto"/>
              <w:right w:val="single" w:sz="8" w:space="0" w:color="FFFFFF"/>
            </w:tcBorders>
            <w:shd w:val="clear" w:color="000000" w:fill="B6DDE8"/>
            <w:vAlign w:val="center"/>
            <w:hideMark/>
          </w:tcPr>
          <w:p w14:paraId="1BF11DF2" w14:textId="77777777" w:rsidR="001918DF" w:rsidRPr="00FC6604" w:rsidRDefault="001918DF" w:rsidP="001918DF">
            <w:pPr>
              <w:spacing w:after="0" w:line="240" w:lineRule="auto"/>
              <w:rPr>
                <w:rFonts w:ascii="Arial Narrow" w:hAnsi="Arial Narrow" w:cs="Arial"/>
                <w:color w:val="000000"/>
                <w:szCs w:val="24"/>
                <w:lang w:eastAsia="en-AU"/>
              </w:rPr>
            </w:pPr>
            <w:r w:rsidRPr="00FC6604">
              <w:rPr>
                <w:rFonts w:ascii="Arial Narrow" w:hAnsi="Arial Narrow" w:cs="Arial"/>
                <w:color w:val="000000"/>
                <w:szCs w:val="24"/>
                <w:lang w:eastAsia="en-AU"/>
              </w:rPr>
              <w:t>Financial statements; Renewals Gap, Ratios</w:t>
            </w:r>
          </w:p>
        </w:tc>
        <w:tc>
          <w:tcPr>
            <w:tcW w:w="903" w:type="pct"/>
            <w:tcBorders>
              <w:top w:val="nil"/>
              <w:left w:val="nil"/>
              <w:bottom w:val="single" w:sz="8" w:space="0" w:color="auto"/>
              <w:right w:val="single" w:sz="8" w:space="0" w:color="auto"/>
            </w:tcBorders>
            <w:shd w:val="clear" w:color="000000" w:fill="B6DDE8"/>
            <w:vAlign w:val="center"/>
            <w:hideMark/>
          </w:tcPr>
          <w:p w14:paraId="0C168065" w14:textId="77777777" w:rsidR="001918DF" w:rsidRPr="00FC6604" w:rsidRDefault="001918DF" w:rsidP="001918DF">
            <w:pPr>
              <w:spacing w:after="0" w:line="240" w:lineRule="auto"/>
              <w:jc w:val="center"/>
              <w:rPr>
                <w:rFonts w:ascii="Arial Narrow" w:hAnsi="Arial Narrow" w:cs="Arial"/>
                <w:b/>
                <w:bCs/>
                <w:color w:val="000000"/>
                <w:szCs w:val="24"/>
                <w:lang w:eastAsia="en-AU"/>
              </w:rPr>
            </w:pPr>
            <w:r w:rsidRPr="00FC6604">
              <w:rPr>
                <w:rFonts w:ascii="Arial Narrow" w:hAnsi="Arial Narrow" w:cs="Arial"/>
                <w:b/>
                <w:bCs/>
                <w:color w:val="000000"/>
                <w:szCs w:val="24"/>
                <w:lang w:eastAsia="en-AU"/>
              </w:rPr>
              <w:t>A</w:t>
            </w:r>
          </w:p>
        </w:tc>
      </w:tr>
    </w:tbl>
    <w:p w14:paraId="2EE52F64" w14:textId="4410E612" w:rsidR="00D95710" w:rsidRDefault="00D95710" w:rsidP="00DC45B5"/>
    <w:p w14:paraId="57570F10" w14:textId="41E9C070" w:rsidR="00140CAE" w:rsidRDefault="00140CAE" w:rsidP="00140CAE">
      <w:pPr>
        <w:pStyle w:val="BodyText"/>
      </w:pPr>
    </w:p>
    <w:p w14:paraId="3F886A8B" w14:textId="0F4797A4" w:rsidR="00140CAE" w:rsidRDefault="00140CAE" w:rsidP="00140CAE">
      <w:pPr>
        <w:pStyle w:val="BodyText"/>
      </w:pPr>
    </w:p>
    <w:p w14:paraId="25CED62C" w14:textId="5C5C654D" w:rsidR="00140CAE" w:rsidRDefault="00140CAE" w:rsidP="00140CAE">
      <w:pPr>
        <w:pStyle w:val="BodyText"/>
      </w:pPr>
    </w:p>
    <w:p w14:paraId="5FA72452" w14:textId="77777777" w:rsidR="00FC6604" w:rsidRPr="00140CAE" w:rsidRDefault="00FC6604" w:rsidP="00140CAE">
      <w:pPr>
        <w:pStyle w:val="BodyText"/>
      </w:pPr>
    </w:p>
    <w:p w14:paraId="2957DD8E" w14:textId="77777777" w:rsidR="00954BC5" w:rsidRDefault="00954BC5" w:rsidP="00DC45B5">
      <w:r>
        <w:lastRenderedPageBreak/>
        <w:t>Ratings are based on the following criteria / inputs</w:t>
      </w:r>
      <w:r w:rsidRPr="00265145">
        <w:t>.</w:t>
      </w:r>
    </w:p>
    <w:p w14:paraId="2ADB5C57" w14:textId="77777777" w:rsidR="00954BC5" w:rsidRPr="00140CAE" w:rsidRDefault="00954BC5" w:rsidP="00616E47">
      <w:pPr>
        <w:keepNext/>
        <w:rPr>
          <w:b/>
          <w:iCs/>
          <w:color w:val="0070C0"/>
          <w:szCs w:val="22"/>
        </w:rPr>
      </w:pPr>
      <w:r w:rsidRPr="00140CAE">
        <w:rPr>
          <w:b/>
          <w:iCs/>
          <w:color w:val="0070C0"/>
          <w:szCs w:val="22"/>
        </w:rPr>
        <w:t>Table 2.5.</w:t>
      </w:r>
      <w:r w:rsidR="00516A20" w:rsidRPr="00140CAE">
        <w:rPr>
          <w:b/>
          <w:iCs/>
          <w:color w:val="0070C0"/>
          <w:szCs w:val="22"/>
        </w:rPr>
        <w:t>2</w:t>
      </w:r>
      <w:r w:rsidRPr="00140CAE">
        <w:rPr>
          <w:b/>
          <w:iCs/>
          <w:color w:val="0070C0"/>
          <w:szCs w:val="22"/>
        </w:rPr>
        <w:t xml:space="preserve"> </w:t>
      </w:r>
      <w:r w:rsidRPr="00140CAE">
        <w:rPr>
          <w:b/>
          <w:iCs/>
          <w:color w:val="0070C0"/>
          <w:szCs w:val="22"/>
        </w:rPr>
        <w:tab/>
        <w:t>Data confidence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573"/>
      </w:tblGrid>
      <w:tr w:rsidR="00516A20" w:rsidRPr="00546EB0" w14:paraId="7F67919B" w14:textId="77777777" w:rsidTr="00516A20">
        <w:tc>
          <w:tcPr>
            <w:tcW w:w="0" w:type="auto"/>
            <w:shd w:val="clear" w:color="auto" w:fill="auto"/>
          </w:tcPr>
          <w:p w14:paraId="3C724195" w14:textId="77777777" w:rsidR="00516A20" w:rsidRPr="00546EB0" w:rsidRDefault="00516A20" w:rsidP="00140CAE">
            <w:pPr>
              <w:spacing w:after="0"/>
              <w:jc w:val="left"/>
              <w:rPr>
                <w:rFonts w:eastAsia="Calibri"/>
                <w:b/>
                <w:szCs w:val="24"/>
              </w:rPr>
            </w:pPr>
            <w:r w:rsidRPr="00546EB0">
              <w:rPr>
                <w:rFonts w:eastAsia="Calibri"/>
                <w:b/>
                <w:szCs w:val="24"/>
              </w:rPr>
              <w:t>Confidence Grade</w:t>
            </w:r>
          </w:p>
        </w:tc>
        <w:tc>
          <w:tcPr>
            <w:tcW w:w="0" w:type="auto"/>
            <w:shd w:val="clear" w:color="auto" w:fill="auto"/>
          </w:tcPr>
          <w:p w14:paraId="064AD204" w14:textId="77777777" w:rsidR="00516A20" w:rsidRPr="00546EB0" w:rsidRDefault="00516A20" w:rsidP="00140CAE">
            <w:pPr>
              <w:spacing w:after="0"/>
              <w:jc w:val="left"/>
              <w:rPr>
                <w:rFonts w:eastAsia="Calibri"/>
                <w:b/>
                <w:szCs w:val="24"/>
              </w:rPr>
            </w:pPr>
            <w:r w:rsidRPr="00546EB0">
              <w:rPr>
                <w:rFonts w:eastAsia="Calibri"/>
                <w:b/>
                <w:szCs w:val="24"/>
              </w:rPr>
              <w:t>Description</w:t>
            </w:r>
          </w:p>
        </w:tc>
      </w:tr>
      <w:tr w:rsidR="00516A20" w:rsidRPr="00546EB0" w14:paraId="651FBFB9" w14:textId="77777777" w:rsidTr="00516A20">
        <w:tc>
          <w:tcPr>
            <w:tcW w:w="0" w:type="auto"/>
            <w:shd w:val="clear" w:color="auto" w:fill="auto"/>
          </w:tcPr>
          <w:p w14:paraId="4349E351" w14:textId="77777777" w:rsidR="00516A20" w:rsidRPr="00546EB0" w:rsidRDefault="00516A20" w:rsidP="00140CAE">
            <w:pPr>
              <w:jc w:val="left"/>
              <w:rPr>
                <w:szCs w:val="24"/>
                <w:lang w:val="x-none"/>
              </w:rPr>
            </w:pPr>
            <w:r w:rsidRPr="00546EB0">
              <w:rPr>
                <w:szCs w:val="24"/>
                <w:lang w:val="x-none"/>
              </w:rPr>
              <w:t>A  Highly reliable</w:t>
            </w:r>
          </w:p>
        </w:tc>
        <w:tc>
          <w:tcPr>
            <w:tcW w:w="0" w:type="auto"/>
            <w:shd w:val="clear" w:color="auto" w:fill="auto"/>
          </w:tcPr>
          <w:p w14:paraId="04A26595" w14:textId="77777777" w:rsidR="00516A20" w:rsidRPr="00546EB0" w:rsidRDefault="00516A20" w:rsidP="00140CAE">
            <w:pPr>
              <w:rPr>
                <w:szCs w:val="24"/>
                <w:lang w:val="x-none"/>
              </w:rPr>
            </w:pPr>
            <w:r w:rsidRPr="00546EB0">
              <w:rPr>
                <w:szCs w:val="24"/>
                <w:lang w:val="x-none"/>
              </w:rPr>
              <w:t>Data based on sound records, procedures, investigations and analysis, documented properly and agreed as the best method of assessment. Dataset is complete and estimated to be accurate ± 2%</w:t>
            </w:r>
          </w:p>
        </w:tc>
      </w:tr>
      <w:tr w:rsidR="00516A20" w:rsidRPr="00546EB0" w14:paraId="3D17B1E4" w14:textId="77777777" w:rsidTr="00516A20">
        <w:tc>
          <w:tcPr>
            <w:tcW w:w="0" w:type="auto"/>
            <w:shd w:val="clear" w:color="auto" w:fill="auto"/>
          </w:tcPr>
          <w:p w14:paraId="0E0AF7B3" w14:textId="77777777" w:rsidR="00516A20" w:rsidRPr="00546EB0" w:rsidRDefault="00516A20" w:rsidP="00140CAE">
            <w:pPr>
              <w:jc w:val="left"/>
              <w:rPr>
                <w:szCs w:val="24"/>
                <w:lang w:val="x-none"/>
              </w:rPr>
            </w:pPr>
            <w:r w:rsidRPr="00546EB0">
              <w:rPr>
                <w:szCs w:val="24"/>
                <w:lang w:val="x-none"/>
              </w:rPr>
              <w:t>B  Reliable</w:t>
            </w:r>
          </w:p>
        </w:tc>
        <w:tc>
          <w:tcPr>
            <w:tcW w:w="0" w:type="auto"/>
            <w:shd w:val="clear" w:color="auto" w:fill="auto"/>
          </w:tcPr>
          <w:p w14:paraId="55CD392F" w14:textId="77777777" w:rsidR="00516A20" w:rsidRPr="00546EB0" w:rsidRDefault="00516A20" w:rsidP="00140CAE">
            <w:pPr>
              <w:rPr>
                <w:szCs w:val="24"/>
                <w:lang w:val="x-none"/>
              </w:rPr>
            </w:pPr>
            <w:r w:rsidRPr="00546EB0">
              <w:rPr>
                <w:szCs w:val="24"/>
                <w:lang w:val="x-none"/>
              </w:rPr>
              <w:t>Data based on sound records, procedures, investigations and analysis, documented properly but has minor shortcomings, for example some of the data is old, some documentation is missing and/or reliance is placed on unconfirmed reports or some extrapolation.  Dataset is complete and estimated to be accurate ± 10%</w:t>
            </w:r>
          </w:p>
        </w:tc>
      </w:tr>
      <w:tr w:rsidR="00516A20" w:rsidRPr="00546EB0" w14:paraId="6B244E0E" w14:textId="77777777" w:rsidTr="00516A20">
        <w:tc>
          <w:tcPr>
            <w:tcW w:w="0" w:type="auto"/>
            <w:shd w:val="clear" w:color="auto" w:fill="auto"/>
          </w:tcPr>
          <w:p w14:paraId="51104E4B" w14:textId="77777777" w:rsidR="00516A20" w:rsidRPr="00546EB0" w:rsidRDefault="00516A20" w:rsidP="00140CAE">
            <w:pPr>
              <w:jc w:val="left"/>
              <w:rPr>
                <w:szCs w:val="24"/>
                <w:lang w:val="x-none"/>
              </w:rPr>
            </w:pPr>
            <w:r w:rsidRPr="00546EB0">
              <w:rPr>
                <w:szCs w:val="24"/>
                <w:lang w:val="x-none"/>
              </w:rPr>
              <w:t>C  Uncertain</w:t>
            </w:r>
          </w:p>
        </w:tc>
        <w:tc>
          <w:tcPr>
            <w:tcW w:w="0" w:type="auto"/>
            <w:shd w:val="clear" w:color="auto" w:fill="auto"/>
          </w:tcPr>
          <w:p w14:paraId="7998849C" w14:textId="77777777" w:rsidR="00516A20" w:rsidRPr="00546EB0" w:rsidRDefault="00516A20" w:rsidP="00140CAE">
            <w:pPr>
              <w:rPr>
                <w:szCs w:val="24"/>
                <w:lang w:val="x-none"/>
              </w:rPr>
            </w:pPr>
            <w:r w:rsidRPr="00546EB0">
              <w:rPr>
                <w:szCs w:val="24"/>
                <w:lang w:val="x-none"/>
              </w:rPr>
              <w:t>Data based on sound records, procedures, investigations and analysis which is incomplete or unsupported, or extrapolated from a limited sample for which grade A or B data are available.  Dataset is substantially complete but up to 50% is extrapolated data and accuracy estimated ± 25%</w:t>
            </w:r>
          </w:p>
        </w:tc>
      </w:tr>
      <w:tr w:rsidR="00516A20" w:rsidRPr="00546EB0" w14:paraId="18B44179" w14:textId="77777777" w:rsidTr="00516A20">
        <w:tc>
          <w:tcPr>
            <w:tcW w:w="0" w:type="auto"/>
            <w:shd w:val="clear" w:color="auto" w:fill="auto"/>
          </w:tcPr>
          <w:p w14:paraId="6AD352D0" w14:textId="77777777" w:rsidR="00516A20" w:rsidRPr="00546EB0" w:rsidRDefault="00516A20" w:rsidP="00140CAE">
            <w:pPr>
              <w:jc w:val="left"/>
              <w:rPr>
                <w:szCs w:val="24"/>
                <w:lang w:val="x-none"/>
              </w:rPr>
            </w:pPr>
            <w:r w:rsidRPr="00546EB0">
              <w:rPr>
                <w:szCs w:val="24"/>
                <w:lang w:val="x-none"/>
              </w:rPr>
              <w:t>D  Very Uncertain</w:t>
            </w:r>
          </w:p>
        </w:tc>
        <w:tc>
          <w:tcPr>
            <w:tcW w:w="0" w:type="auto"/>
            <w:shd w:val="clear" w:color="auto" w:fill="auto"/>
          </w:tcPr>
          <w:p w14:paraId="481CECC6" w14:textId="77777777" w:rsidR="00516A20" w:rsidRPr="00546EB0" w:rsidRDefault="00516A20" w:rsidP="00140CAE">
            <w:pPr>
              <w:rPr>
                <w:szCs w:val="24"/>
                <w:lang w:val="x-none"/>
              </w:rPr>
            </w:pPr>
            <w:r w:rsidRPr="00546EB0">
              <w:rPr>
                <w:szCs w:val="24"/>
                <w:lang w:val="x-none"/>
              </w:rPr>
              <w:t>Data is based on unconfirmed verbal reports and/or cursory inspections and analysis.  Dataset may not be fully complete and most data is estimated or extrapolated.  Accuracy ± 40%</w:t>
            </w:r>
          </w:p>
        </w:tc>
      </w:tr>
      <w:tr w:rsidR="00516A20" w:rsidRPr="00546EB0" w14:paraId="09422BA4" w14:textId="77777777" w:rsidTr="00516A20">
        <w:tc>
          <w:tcPr>
            <w:tcW w:w="0" w:type="auto"/>
            <w:shd w:val="clear" w:color="auto" w:fill="auto"/>
          </w:tcPr>
          <w:p w14:paraId="564074C1" w14:textId="77777777" w:rsidR="00516A20" w:rsidRPr="00546EB0" w:rsidRDefault="00516A20" w:rsidP="00140CAE">
            <w:pPr>
              <w:jc w:val="left"/>
              <w:rPr>
                <w:szCs w:val="24"/>
                <w:lang w:val="x-none"/>
              </w:rPr>
            </w:pPr>
            <w:r w:rsidRPr="00546EB0">
              <w:rPr>
                <w:szCs w:val="24"/>
                <w:lang w:val="x-none"/>
              </w:rPr>
              <w:t>E  Unknown</w:t>
            </w:r>
          </w:p>
        </w:tc>
        <w:tc>
          <w:tcPr>
            <w:tcW w:w="0" w:type="auto"/>
            <w:shd w:val="clear" w:color="auto" w:fill="auto"/>
          </w:tcPr>
          <w:p w14:paraId="01CBF9FE" w14:textId="77777777" w:rsidR="00516A20" w:rsidRPr="00546EB0" w:rsidRDefault="00516A20" w:rsidP="00140CAE">
            <w:pPr>
              <w:rPr>
                <w:szCs w:val="24"/>
                <w:lang w:val="x-none"/>
              </w:rPr>
            </w:pPr>
            <w:r w:rsidRPr="00546EB0">
              <w:rPr>
                <w:szCs w:val="24"/>
                <w:lang w:val="x-none"/>
              </w:rPr>
              <w:t>None or very little data held.</w:t>
            </w:r>
          </w:p>
        </w:tc>
      </w:tr>
    </w:tbl>
    <w:p w14:paraId="4A90E60E" w14:textId="77777777" w:rsidR="00516A20" w:rsidRDefault="00516A20" w:rsidP="00516A20">
      <w:pPr>
        <w:pStyle w:val="BodyText"/>
      </w:pPr>
    </w:p>
    <w:p w14:paraId="33D68FC1" w14:textId="77777777" w:rsidR="00516A20" w:rsidRDefault="00516A20" w:rsidP="00516A20">
      <w:pPr>
        <w:pStyle w:val="BodyText"/>
      </w:pPr>
    </w:p>
    <w:p w14:paraId="4955A027" w14:textId="77777777" w:rsidR="00516A20" w:rsidRDefault="00516A20" w:rsidP="00516A20">
      <w:pPr>
        <w:pStyle w:val="BodyText"/>
      </w:pPr>
    </w:p>
    <w:p w14:paraId="74EDC51E" w14:textId="77777777" w:rsidR="00516A20" w:rsidRDefault="00516A20" w:rsidP="00516A20">
      <w:pPr>
        <w:pStyle w:val="BodyText"/>
      </w:pPr>
    </w:p>
    <w:p w14:paraId="60AFFEA4" w14:textId="77777777" w:rsidR="00727F7C" w:rsidRDefault="00727F7C" w:rsidP="00516A20">
      <w:pPr>
        <w:pStyle w:val="BodyText"/>
      </w:pPr>
    </w:p>
    <w:p w14:paraId="5AC8C566" w14:textId="77777777" w:rsidR="00727F7C" w:rsidRDefault="00727F7C" w:rsidP="00516A20">
      <w:pPr>
        <w:pStyle w:val="BodyText"/>
      </w:pPr>
    </w:p>
    <w:p w14:paraId="6349C281" w14:textId="77777777" w:rsidR="00727F7C" w:rsidRDefault="00727F7C" w:rsidP="00516A20">
      <w:pPr>
        <w:pStyle w:val="BodyText"/>
      </w:pPr>
    </w:p>
    <w:p w14:paraId="1FB7B0A6" w14:textId="77777777" w:rsidR="00727F7C" w:rsidRDefault="00727F7C" w:rsidP="00516A20">
      <w:pPr>
        <w:pStyle w:val="BodyText"/>
      </w:pPr>
    </w:p>
    <w:p w14:paraId="6500855A" w14:textId="77777777" w:rsidR="00727F7C" w:rsidRDefault="00727F7C" w:rsidP="00516A20">
      <w:pPr>
        <w:pStyle w:val="BodyText"/>
      </w:pPr>
    </w:p>
    <w:p w14:paraId="3B87545E" w14:textId="77777777" w:rsidR="00516A20" w:rsidRPr="00516A20" w:rsidRDefault="00516A20" w:rsidP="00516A20">
      <w:pPr>
        <w:pStyle w:val="BodyText"/>
      </w:pPr>
    </w:p>
    <w:p w14:paraId="51BC65D3" w14:textId="0C81138F" w:rsidR="00626753" w:rsidRPr="00140CAE" w:rsidRDefault="005708F5" w:rsidP="00780183">
      <w:pPr>
        <w:pStyle w:val="Heading1"/>
        <w:rPr>
          <w:color w:val="0070C0"/>
        </w:rPr>
      </w:pPr>
      <w:bookmarkStart w:id="12" w:name="_Toc56419055"/>
      <w:r w:rsidRPr="00140CAE">
        <w:rPr>
          <w:color w:val="0070C0"/>
        </w:rPr>
        <w:lastRenderedPageBreak/>
        <w:t>3</w:t>
      </w:r>
      <w:r w:rsidR="00124C42" w:rsidRPr="00140CAE">
        <w:rPr>
          <w:color w:val="0070C0"/>
        </w:rPr>
        <w:t>.</w:t>
      </w:r>
      <w:r w:rsidR="00124C42" w:rsidRPr="00140CAE">
        <w:rPr>
          <w:color w:val="0070C0"/>
        </w:rPr>
        <w:tab/>
      </w:r>
      <w:r w:rsidR="006F08FA" w:rsidRPr="00140CAE">
        <w:rPr>
          <w:color w:val="0070C0"/>
        </w:rPr>
        <w:t xml:space="preserve">Levels </w:t>
      </w:r>
      <w:r w:rsidR="00FC6604">
        <w:rPr>
          <w:color w:val="0070C0"/>
        </w:rPr>
        <w:t>o</w:t>
      </w:r>
      <w:r w:rsidR="006F08FA" w:rsidRPr="00140CAE">
        <w:rPr>
          <w:color w:val="0070C0"/>
        </w:rPr>
        <w:t>f Service</w:t>
      </w:r>
      <w:bookmarkEnd w:id="12"/>
    </w:p>
    <w:p w14:paraId="439B3B06" w14:textId="77777777" w:rsidR="00DD10E7" w:rsidRPr="007A5196" w:rsidRDefault="00DD10E7" w:rsidP="00DD10E7">
      <w:pPr>
        <w:autoSpaceDE w:val="0"/>
        <w:autoSpaceDN w:val="0"/>
        <w:adjustRightInd w:val="0"/>
        <w:spacing w:after="0"/>
        <w:rPr>
          <w:rFonts w:cs="Arial"/>
          <w:szCs w:val="24"/>
        </w:rPr>
      </w:pPr>
      <w:r w:rsidRPr="007A5196">
        <w:rPr>
          <w:rFonts w:cs="Arial"/>
          <w:szCs w:val="24"/>
        </w:rPr>
        <w:t xml:space="preserve">To support the management of </w:t>
      </w:r>
      <w:r w:rsidR="00DD1C36">
        <w:rPr>
          <w:rFonts w:cs="Arial"/>
          <w:szCs w:val="24"/>
        </w:rPr>
        <w:t>footpath</w:t>
      </w:r>
      <w:r w:rsidRPr="007A5196">
        <w:rPr>
          <w:rFonts w:cs="Arial"/>
          <w:szCs w:val="24"/>
        </w:rPr>
        <w:t xml:space="preserve"> assets the City has developed industry best practice asset management and customer focussed levels of service (LOS) for infrastructure assets and associated services. These LOS’s provide the City with a mechanism to deliver operational activities that endeavour to meet community expectations in the most cost effective manner possible.</w:t>
      </w:r>
    </w:p>
    <w:p w14:paraId="35343A2F" w14:textId="77777777" w:rsidR="00DD10E7" w:rsidRPr="007A5196" w:rsidRDefault="00DD10E7" w:rsidP="00DD10E7">
      <w:pPr>
        <w:autoSpaceDE w:val="0"/>
        <w:autoSpaceDN w:val="0"/>
        <w:adjustRightInd w:val="0"/>
        <w:spacing w:after="0"/>
        <w:rPr>
          <w:rFonts w:cs="Arial"/>
          <w:szCs w:val="24"/>
        </w:rPr>
      </w:pPr>
    </w:p>
    <w:p w14:paraId="2FA8F138" w14:textId="77777777" w:rsidR="00DD10E7" w:rsidRPr="007A5196" w:rsidRDefault="00DD10E7" w:rsidP="00DD10E7">
      <w:pPr>
        <w:autoSpaceDE w:val="0"/>
        <w:autoSpaceDN w:val="0"/>
        <w:adjustRightInd w:val="0"/>
        <w:spacing w:after="0"/>
        <w:rPr>
          <w:szCs w:val="24"/>
        </w:rPr>
      </w:pPr>
      <w:r w:rsidRPr="007A5196">
        <w:rPr>
          <w:rFonts w:cs="Arial"/>
          <w:szCs w:val="24"/>
        </w:rPr>
        <w:t xml:space="preserve">The City administers </w:t>
      </w:r>
      <w:r w:rsidRPr="007A5196">
        <w:rPr>
          <w:szCs w:val="24"/>
        </w:rPr>
        <w:t xml:space="preserve">Community and Technical Services levels to ensure that quality service provision is provided in accordance with the City’s customer Service Charter and Community Engagement Framework, whilst Technical Services are sustainable, and adhere to all relevant compliance and safety industry standards.  </w:t>
      </w:r>
    </w:p>
    <w:p w14:paraId="7F3ACA81" w14:textId="77777777" w:rsidR="00DD10E7" w:rsidRPr="007A5196" w:rsidRDefault="00DD10E7" w:rsidP="00DD10E7">
      <w:pPr>
        <w:autoSpaceDE w:val="0"/>
        <w:autoSpaceDN w:val="0"/>
        <w:adjustRightInd w:val="0"/>
        <w:spacing w:after="0"/>
        <w:rPr>
          <w:rFonts w:cs="Arial"/>
          <w:szCs w:val="24"/>
        </w:rPr>
      </w:pPr>
    </w:p>
    <w:p w14:paraId="0D77BCEA" w14:textId="77777777" w:rsidR="00DD10E7" w:rsidRPr="007A5196" w:rsidRDefault="00DD10E7" w:rsidP="00DD10E7">
      <w:pPr>
        <w:autoSpaceDE w:val="0"/>
        <w:autoSpaceDN w:val="0"/>
        <w:adjustRightInd w:val="0"/>
        <w:spacing w:after="0"/>
        <w:rPr>
          <w:rFonts w:cs="Arial"/>
          <w:szCs w:val="24"/>
        </w:rPr>
      </w:pPr>
      <w:r w:rsidRPr="007A5196">
        <w:rPr>
          <w:rFonts w:cs="Arial"/>
          <w:szCs w:val="24"/>
        </w:rPr>
        <w:t xml:space="preserve">The </w:t>
      </w:r>
      <w:r w:rsidR="00A47EBF">
        <w:rPr>
          <w:rFonts w:cs="Arial"/>
          <w:szCs w:val="24"/>
        </w:rPr>
        <w:t>F</w:t>
      </w:r>
      <w:r w:rsidRPr="007A5196">
        <w:rPr>
          <w:rFonts w:cs="Arial"/>
          <w:szCs w:val="24"/>
        </w:rPr>
        <w:t xml:space="preserve">AMP community and technical levels of service are defined to an asset group level and enable the City to monitor and report operational performance against adopted community and technical targets. </w:t>
      </w:r>
    </w:p>
    <w:p w14:paraId="45970ED6" w14:textId="77777777" w:rsidR="00DD10E7" w:rsidRPr="007A5196" w:rsidRDefault="00DD10E7" w:rsidP="00DD10E7">
      <w:pPr>
        <w:autoSpaceDE w:val="0"/>
        <w:autoSpaceDN w:val="0"/>
        <w:adjustRightInd w:val="0"/>
        <w:spacing w:after="0"/>
        <w:rPr>
          <w:rFonts w:cs="Arial"/>
          <w:szCs w:val="24"/>
        </w:rPr>
      </w:pPr>
    </w:p>
    <w:p w14:paraId="4F20F990" w14:textId="77777777" w:rsidR="00DD10E7" w:rsidRDefault="00DD10E7" w:rsidP="00DD10E7">
      <w:pPr>
        <w:autoSpaceDE w:val="0"/>
        <w:autoSpaceDN w:val="0"/>
        <w:adjustRightInd w:val="0"/>
        <w:spacing w:after="0"/>
        <w:rPr>
          <w:rFonts w:cs="Arial"/>
          <w:szCs w:val="24"/>
        </w:rPr>
      </w:pPr>
      <w:r w:rsidRPr="007A5196">
        <w:rPr>
          <w:rFonts w:cs="Arial"/>
          <w:szCs w:val="24"/>
        </w:rPr>
        <w:t xml:space="preserve">Similar to the City’s existing Asset Management Plans, future </w:t>
      </w:r>
      <w:r w:rsidR="00FE1C09">
        <w:rPr>
          <w:rFonts w:cs="Arial"/>
          <w:szCs w:val="24"/>
        </w:rPr>
        <w:t>F</w:t>
      </w:r>
      <w:r w:rsidRPr="007A5196">
        <w:rPr>
          <w:rFonts w:cs="Arial"/>
          <w:szCs w:val="24"/>
        </w:rPr>
        <w:t>AMP Service level reporting will be derived from the City’s Enterprise Asset Management System (EAM). The Implementation of the EAM will establish improved reporting of operational and maintenance budget expenditure providing increased confidence in projecting future budget needs.</w:t>
      </w:r>
    </w:p>
    <w:p w14:paraId="3F12F0A4" w14:textId="77777777" w:rsidR="00124C42" w:rsidRPr="00140CAE" w:rsidRDefault="005708F5" w:rsidP="00140CAE">
      <w:pPr>
        <w:pStyle w:val="Heading2"/>
      </w:pPr>
      <w:bookmarkStart w:id="13" w:name="_Toc56419056"/>
      <w:r w:rsidRPr="00140CAE">
        <w:t>3</w:t>
      </w:r>
      <w:r w:rsidR="00124C42" w:rsidRPr="00140CAE">
        <w:t>.1</w:t>
      </w:r>
      <w:r w:rsidR="00124C42" w:rsidRPr="00140CAE">
        <w:tab/>
      </w:r>
      <w:r w:rsidR="00F8679E" w:rsidRPr="00140CAE">
        <w:t>Customer</w:t>
      </w:r>
      <w:r w:rsidR="00124C42" w:rsidRPr="00140CAE">
        <w:t xml:space="preserve"> Research and Expectations</w:t>
      </w:r>
      <w:bookmarkEnd w:id="13"/>
    </w:p>
    <w:p w14:paraId="54A6898F" w14:textId="77777777" w:rsidR="00A86B45" w:rsidRDefault="00C04C63" w:rsidP="00FD5C60">
      <w:r w:rsidRPr="00EA6639">
        <w:t xml:space="preserve">The City </w:t>
      </w:r>
      <w:r w:rsidR="00415357" w:rsidRPr="00EA6639">
        <w:t xml:space="preserve">of Cockburn </w:t>
      </w:r>
      <w:r w:rsidRPr="00EA6639">
        <w:t xml:space="preserve">administered the CATALYSE </w:t>
      </w:r>
      <w:r w:rsidR="000F64BA" w:rsidRPr="00EA6639">
        <w:t xml:space="preserve">Business and </w:t>
      </w:r>
      <w:r w:rsidRPr="00EA6639">
        <w:t>Community Perceptions Survey</w:t>
      </w:r>
      <w:r w:rsidR="000F64BA" w:rsidRPr="00EA6639">
        <w:t xml:space="preserve">’s </w:t>
      </w:r>
      <w:r w:rsidRPr="00EA6639">
        <w:t>to evaluate and monitor performance across a range of</w:t>
      </w:r>
      <w:r w:rsidR="000F64BA" w:rsidRPr="00EA6639">
        <w:t xml:space="preserve"> services. </w:t>
      </w:r>
    </w:p>
    <w:p w14:paraId="13F825D1" w14:textId="77777777" w:rsidR="00C04C63" w:rsidRPr="00EA6639" w:rsidRDefault="003A056E" w:rsidP="00FD5C60">
      <w:r>
        <w:t>699</w:t>
      </w:r>
      <w:r w:rsidR="000F64BA" w:rsidRPr="00E4420E">
        <w:t xml:space="preserve"> R</w:t>
      </w:r>
      <w:r w:rsidR="00C04C63" w:rsidRPr="00E4420E">
        <w:t xml:space="preserve">esidents </w:t>
      </w:r>
      <w:r w:rsidR="005C4EB7" w:rsidRPr="00E4420E">
        <w:t>and 1</w:t>
      </w:r>
      <w:r w:rsidR="00E4420E" w:rsidRPr="0026613B">
        <w:t>38</w:t>
      </w:r>
      <w:r w:rsidR="005C4EB7" w:rsidRPr="00E4420E">
        <w:t xml:space="preserve"> </w:t>
      </w:r>
      <w:r w:rsidR="00A86B45">
        <w:t xml:space="preserve">local </w:t>
      </w:r>
      <w:r w:rsidR="000F64BA" w:rsidRPr="00E4420E">
        <w:t>businesses</w:t>
      </w:r>
      <w:r w:rsidR="000F64BA" w:rsidRPr="00EA6639">
        <w:t xml:space="preserve"> participated in the studies</w:t>
      </w:r>
      <w:r w:rsidR="00C04C63" w:rsidRPr="00EA6639">
        <w:t xml:space="preserve">. The </w:t>
      </w:r>
      <w:r w:rsidR="00C03873" w:rsidRPr="00EA6639">
        <w:t>surveys</w:t>
      </w:r>
      <w:r w:rsidR="000F64BA" w:rsidRPr="00EA6639">
        <w:t xml:space="preserve"> were</w:t>
      </w:r>
      <w:r w:rsidR="00C04C63" w:rsidRPr="00EA6639">
        <w:t xml:space="preserve"> conducted b</w:t>
      </w:r>
      <w:r w:rsidR="000F64BA" w:rsidRPr="00EA6639">
        <w:t xml:space="preserve">y CATALYSE Pty Ltd and provide </w:t>
      </w:r>
      <w:r w:rsidR="00C04C63" w:rsidRPr="00EA6639">
        <w:t>Council with valid performance measures that can be benchmarked and consistently monitored over time.</w:t>
      </w:r>
    </w:p>
    <w:p w14:paraId="31CF87DC" w14:textId="77777777" w:rsidR="006F25E5" w:rsidRDefault="00C04C63" w:rsidP="00FD5C60">
      <w:r w:rsidRPr="00EA6639">
        <w:t>The most recent customer satisfaction survey</w:t>
      </w:r>
      <w:r w:rsidR="000F64BA" w:rsidRPr="00EA6639">
        <w:t>s were</w:t>
      </w:r>
      <w:r w:rsidRPr="00EA6639">
        <w:t xml:space="preserve"> undertaken in </w:t>
      </w:r>
      <w:r w:rsidR="00385F3B">
        <w:t>May 201</w:t>
      </w:r>
      <w:r w:rsidR="00922E1B">
        <w:t>9</w:t>
      </w:r>
      <w:r w:rsidR="00500729">
        <w:t xml:space="preserve"> – Customer Scorecard</w:t>
      </w:r>
      <w:r w:rsidRPr="00EA6639">
        <w:t xml:space="preserve"> </w:t>
      </w:r>
      <w:r w:rsidR="000F64BA" w:rsidRPr="00EA6639">
        <w:t>and</w:t>
      </w:r>
      <w:r w:rsidR="00A10C7D">
        <w:t xml:space="preserve"> </w:t>
      </w:r>
      <w:r w:rsidR="007763BF">
        <w:t>Octo</w:t>
      </w:r>
      <w:r w:rsidR="00500729">
        <w:t xml:space="preserve">ber 2019 – Business scorecard </w:t>
      </w:r>
      <w:r w:rsidR="00A10C7D">
        <w:t xml:space="preserve">the performance comparison of satisfaction levels over the past five years are </w:t>
      </w:r>
      <w:r w:rsidR="006F25E5">
        <w:t>compared using a traffic light system to measure increasing or decreasing satisfaction.</w:t>
      </w:r>
      <w:r w:rsidR="006F25E5" w:rsidRPr="00F64C7D">
        <w:t xml:space="preserve"> </w:t>
      </w:r>
    </w:p>
    <w:p w14:paraId="019BE0F6" w14:textId="77777777" w:rsidR="003B2A8C" w:rsidRPr="0059749A" w:rsidRDefault="003B2A8C" w:rsidP="003B2A8C">
      <w:pPr>
        <w:spacing w:before="240" w:after="120"/>
        <w:rPr>
          <w:szCs w:val="24"/>
        </w:rPr>
      </w:pPr>
      <w:r w:rsidRPr="0059749A">
        <w:rPr>
          <w:szCs w:val="24"/>
        </w:rPr>
        <w:t xml:space="preserve">Key to status </w:t>
      </w:r>
    </w:p>
    <w:p w14:paraId="5411EF45" w14:textId="77777777" w:rsidR="003B2A8C" w:rsidRPr="008A1987" w:rsidRDefault="003B2A8C" w:rsidP="003B2A8C">
      <w:pPr>
        <w:tabs>
          <w:tab w:val="left" w:pos="426"/>
        </w:tabs>
        <w:spacing w:after="120"/>
        <w:rPr>
          <w:szCs w:val="24"/>
        </w:rPr>
      </w:pPr>
      <w:r w:rsidRPr="008A1987">
        <w:rPr>
          <w:rFonts w:ascii="Arial Narrow" w:hAnsi="Arial Narrow" w:cs="Arial"/>
          <w:noProof/>
          <w:szCs w:val="24"/>
          <w:lang w:eastAsia="en-AU"/>
        </w:rPr>
        <mc:AlternateContent>
          <mc:Choice Requires="wps">
            <w:drawing>
              <wp:anchor distT="0" distB="0" distL="114300" distR="114300" simplePos="0" relativeHeight="251659264" behindDoc="0" locked="0" layoutInCell="1" allowOverlap="1" wp14:anchorId="093394A3" wp14:editId="1AD9E0A6">
                <wp:simplePos x="0" y="0"/>
                <wp:positionH relativeFrom="column">
                  <wp:posOffset>-38100</wp:posOffset>
                </wp:positionH>
                <wp:positionV relativeFrom="paragraph">
                  <wp:posOffset>8255</wp:posOffset>
                </wp:positionV>
                <wp:extent cx="179705" cy="179705"/>
                <wp:effectExtent l="0" t="0" r="10795" b="10795"/>
                <wp:wrapNone/>
                <wp:docPr id="290" name="Flowchart: Connector 290"/>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8981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0" o:spid="_x0000_s1026" type="#_x0000_t120" style="position:absolute;margin-left:-3pt;margin-top:.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" fillcolor="red" strokecolor="windowText" strokeweight=".5pt"/>
            </w:pict>
          </mc:Fallback>
        </mc:AlternateContent>
      </w:r>
      <w:r w:rsidRPr="008A1987">
        <w:rPr>
          <w:szCs w:val="24"/>
        </w:rPr>
        <w:tab/>
      </w:r>
      <w:r w:rsidRPr="008A1987">
        <w:rPr>
          <w:szCs w:val="24"/>
        </w:rPr>
        <w:tab/>
        <w:t>Drop in customer satisfaction of 3% or more</w:t>
      </w:r>
    </w:p>
    <w:p w14:paraId="4F1502DB" w14:textId="77777777" w:rsidR="003B2A8C" w:rsidRPr="008A1987" w:rsidRDefault="003B2A8C" w:rsidP="003B2A8C">
      <w:pPr>
        <w:tabs>
          <w:tab w:val="left" w:pos="426"/>
        </w:tabs>
        <w:spacing w:after="120"/>
        <w:rPr>
          <w:szCs w:val="24"/>
        </w:rPr>
      </w:pPr>
      <w:r w:rsidRPr="008A1987">
        <w:rPr>
          <w:rFonts w:ascii="Arial Narrow" w:hAnsi="Arial Narrow" w:cs="Arial"/>
          <w:noProof/>
          <w:szCs w:val="24"/>
          <w:lang w:eastAsia="en-AU"/>
        </w:rPr>
        <mc:AlternateContent>
          <mc:Choice Requires="wps">
            <w:drawing>
              <wp:anchor distT="0" distB="0" distL="114300" distR="114300" simplePos="0" relativeHeight="251663360" behindDoc="0" locked="0" layoutInCell="1" allowOverlap="1" wp14:anchorId="338BF2F5" wp14:editId="1AF472C1">
                <wp:simplePos x="0" y="0"/>
                <wp:positionH relativeFrom="column">
                  <wp:posOffset>-38100</wp:posOffset>
                </wp:positionH>
                <wp:positionV relativeFrom="paragraph">
                  <wp:posOffset>8255</wp:posOffset>
                </wp:positionV>
                <wp:extent cx="179705" cy="179705"/>
                <wp:effectExtent l="0" t="0" r="10795" b="10795"/>
                <wp:wrapNone/>
                <wp:docPr id="291" name="Flowchart: Connector 291"/>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82C4" id="Flowchart: Connector 291" o:spid="_x0000_s1026" type="#_x0000_t120" style="position:absolute;margin-left:-3pt;margin-top:.65pt;width:14.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" fillcolor="#ffc000" strokecolor="windowText" strokeweight=".5pt"/>
            </w:pict>
          </mc:Fallback>
        </mc:AlternateContent>
      </w:r>
      <w:r w:rsidRPr="008A1987">
        <w:rPr>
          <w:szCs w:val="24"/>
        </w:rPr>
        <w:tab/>
      </w:r>
      <w:r w:rsidRPr="008A1987">
        <w:rPr>
          <w:szCs w:val="24"/>
        </w:rPr>
        <w:tab/>
        <w:t xml:space="preserve">Change in customer satisfaction of 2% or less </w:t>
      </w:r>
    </w:p>
    <w:p w14:paraId="741B7A3A" w14:textId="77777777" w:rsidR="003B2A8C" w:rsidRPr="007C5116" w:rsidRDefault="003B2A8C" w:rsidP="007C5116">
      <w:pPr>
        <w:tabs>
          <w:tab w:val="left" w:pos="426"/>
        </w:tabs>
        <w:rPr>
          <w:szCs w:val="24"/>
        </w:rPr>
      </w:pPr>
      <w:r w:rsidRPr="008A1987">
        <w:rPr>
          <w:rFonts w:ascii="Arial Narrow" w:hAnsi="Arial Narrow" w:cs="Arial"/>
          <w:noProof/>
          <w:szCs w:val="24"/>
          <w:lang w:eastAsia="en-AU"/>
        </w:rPr>
        <mc:AlternateContent>
          <mc:Choice Requires="wps">
            <w:drawing>
              <wp:anchor distT="0" distB="0" distL="114300" distR="114300" simplePos="0" relativeHeight="251667456" behindDoc="0" locked="0" layoutInCell="1" allowOverlap="1" wp14:anchorId="2EE3101C" wp14:editId="57EDCC46">
                <wp:simplePos x="0" y="0"/>
                <wp:positionH relativeFrom="column">
                  <wp:posOffset>-38100</wp:posOffset>
                </wp:positionH>
                <wp:positionV relativeFrom="paragraph">
                  <wp:posOffset>8255</wp:posOffset>
                </wp:positionV>
                <wp:extent cx="179705" cy="179705"/>
                <wp:effectExtent l="0" t="0" r="10795" b="10795"/>
                <wp:wrapNone/>
                <wp:docPr id="292" name="Flowchart: Connector 292"/>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BB2" id="Flowchart: Connector 292" o:spid="_x0000_s1026" type="#_x0000_t120" style="position:absolute;margin-left:-3pt;margin-top:.6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" fillcolor="#9bbb59" strokecolor="windowText" strokeweight=".5pt"/>
            </w:pict>
          </mc:Fallback>
        </mc:AlternateContent>
      </w:r>
      <w:r w:rsidRPr="008A1987">
        <w:rPr>
          <w:szCs w:val="24"/>
        </w:rPr>
        <w:tab/>
      </w:r>
      <w:r w:rsidRPr="008A1987">
        <w:rPr>
          <w:szCs w:val="24"/>
        </w:rPr>
        <w:tab/>
        <w:t>Increase in customer satisfaction of 3% or more</w:t>
      </w:r>
    </w:p>
    <w:p w14:paraId="5D2CE7C6" w14:textId="77777777" w:rsidR="00997C34" w:rsidRPr="00140CAE" w:rsidRDefault="00997C34" w:rsidP="00140CAE">
      <w:pPr>
        <w:pStyle w:val="Heading2"/>
      </w:pPr>
      <w:bookmarkStart w:id="14" w:name="_Toc56419057"/>
      <w:r w:rsidRPr="00140CAE">
        <w:lastRenderedPageBreak/>
        <w:t xml:space="preserve">3.2 </w:t>
      </w:r>
      <w:r w:rsidRPr="00140CAE">
        <w:tab/>
        <w:t>Current Levels of Service</w:t>
      </w:r>
      <w:bookmarkEnd w:id="14"/>
    </w:p>
    <w:p w14:paraId="1EC47591" w14:textId="77777777" w:rsidR="00997C34" w:rsidRPr="00273C53" w:rsidRDefault="00997C34" w:rsidP="00997C34">
      <w:pPr>
        <w:rPr>
          <w:szCs w:val="24"/>
        </w:rPr>
      </w:pPr>
      <w:r w:rsidRPr="00273C53">
        <w:rPr>
          <w:szCs w:val="24"/>
        </w:rPr>
        <w:t>The City of Cockburn has defined service levels in two terms:</w:t>
      </w:r>
    </w:p>
    <w:p w14:paraId="71DEFEF5" w14:textId="77777777" w:rsidR="00997C34" w:rsidRDefault="00997C34" w:rsidP="00FD5C60">
      <w:pPr>
        <w:pStyle w:val="ListParagraph"/>
        <w:numPr>
          <w:ilvl w:val="0"/>
          <w:numId w:val="40"/>
        </w:numPr>
      </w:pPr>
      <w:r w:rsidRPr="00273C53">
        <w:t>Community Levels of Service relate to how the community receives the service in terms of safety, quality, quantity, reliability, responsiveness, cost efficiency and legislative compliance.</w:t>
      </w:r>
    </w:p>
    <w:p w14:paraId="12E8018E" w14:textId="77777777" w:rsidR="007C5116" w:rsidRPr="00273C53" w:rsidRDefault="007C5116" w:rsidP="007C5116">
      <w:pPr>
        <w:pStyle w:val="ListParagraph"/>
      </w:pPr>
    </w:p>
    <w:p w14:paraId="6990647F" w14:textId="77777777" w:rsidR="00997C34" w:rsidRPr="00273C53" w:rsidRDefault="00997C34" w:rsidP="00FD5C60">
      <w:pPr>
        <w:pStyle w:val="ListParagraph"/>
        <w:numPr>
          <w:ilvl w:val="0"/>
          <w:numId w:val="40"/>
        </w:numPr>
      </w:pPr>
      <w:r w:rsidRPr="00273C53">
        <w:t>Supporting the community service levels are operational or technical measures of performance developed to ensure that at least the minimum community levels of service are met. Technical Levels of Service relate to how the City provides the service using technical terms</w:t>
      </w:r>
    </w:p>
    <w:p w14:paraId="636C5A04" w14:textId="77777777" w:rsidR="00997C34" w:rsidRPr="00140CAE" w:rsidRDefault="00997C34" w:rsidP="00997C34">
      <w:pPr>
        <w:pStyle w:val="BodyText"/>
        <w:tabs>
          <w:tab w:val="left" w:pos="1560"/>
        </w:tabs>
        <w:spacing w:before="240"/>
        <w:rPr>
          <w:b/>
          <w:iCs/>
          <w:color w:val="0070C0"/>
          <w:szCs w:val="24"/>
        </w:rPr>
      </w:pPr>
      <w:r w:rsidRPr="00140CAE">
        <w:rPr>
          <w:b/>
          <w:iCs/>
          <w:color w:val="0070C0"/>
          <w:szCs w:val="24"/>
        </w:rPr>
        <w:t>Historical tracking of customer satisfaction surveys</w:t>
      </w:r>
      <w:r w:rsidR="00D3530A" w:rsidRPr="00140CAE">
        <w:rPr>
          <w:b/>
          <w:iCs/>
          <w:color w:val="0070C0"/>
          <w:szCs w:val="24"/>
        </w:rPr>
        <w:t xml:space="preserve"> over the last 5 years</w:t>
      </w:r>
    </w:p>
    <w:p w14:paraId="4EC62B49" w14:textId="77777777" w:rsidR="0075521C" w:rsidRPr="00140CAE" w:rsidRDefault="002A3136" w:rsidP="00616E47">
      <w:pPr>
        <w:keepNext/>
        <w:rPr>
          <w:b/>
          <w:iCs/>
          <w:color w:val="0070C0"/>
          <w:szCs w:val="22"/>
        </w:rPr>
      </w:pPr>
      <w:r w:rsidRPr="00140CAE">
        <w:rPr>
          <w:b/>
          <w:iCs/>
          <w:color w:val="0070C0"/>
          <w:szCs w:val="22"/>
        </w:rPr>
        <w:t xml:space="preserve">Table </w:t>
      </w:r>
      <w:r w:rsidR="0066531F" w:rsidRPr="00140CAE">
        <w:rPr>
          <w:b/>
          <w:iCs/>
          <w:color w:val="0070C0"/>
          <w:szCs w:val="22"/>
        </w:rPr>
        <w:t>3.1.1</w:t>
      </w:r>
      <w:r w:rsidR="0066531F" w:rsidRPr="00140CAE">
        <w:rPr>
          <w:b/>
          <w:iCs/>
          <w:color w:val="0070C0"/>
          <w:szCs w:val="22"/>
        </w:rPr>
        <w:tab/>
      </w:r>
      <w:r w:rsidR="00E634F2" w:rsidRPr="00140CAE">
        <w:rPr>
          <w:b/>
          <w:iCs/>
          <w:color w:val="0070C0"/>
          <w:szCs w:val="22"/>
        </w:rPr>
        <w:t>Community</w:t>
      </w:r>
    </w:p>
    <w:tbl>
      <w:tblPr>
        <w:tblStyle w:val="MediumGrid3-Accent5"/>
        <w:tblW w:w="9180" w:type="dxa"/>
        <w:tblLayout w:type="fixed"/>
        <w:tblLook w:val="04A0" w:firstRow="1" w:lastRow="0" w:firstColumn="1" w:lastColumn="0" w:noHBand="0" w:noVBand="1"/>
      </w:tblPr>
      <w:tblGrid>
        <w:gridCol w:w="3255"/>
        <w:gridCol w:w="960"/>
        <w:gridCol w:w="960"/>
        <w:gridCol w:w="959"/>
        <w:gridCol w:w="959"/>
        <w:gridCol w:w="959"/>
        <w:gridCol w:w="1128"/>
      </w:tblGrid>
      <w:tr w:rsidR="00385F3B" w:rsidRPr="00A60228" w14:paraId="75D89E49" w14:textId="77777777" w:rsidTr="00E1274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55" w:type="dxa"/>
            <w:vMerge w:val="restart"/>
            <w:tcBorders>
              <w:top w:val="single" w:sz="8" w:space="0" w:color="auto"/>
              <w:left w:val="single" w:sz="8" w:space="0" w:color="auto"/>
              <w:bottom w:val="single" w:sz="8" w:space="0" w:color="FFFFFF" w:themeColor="background1"/>
            </w:tcBorders>
            <w:vAlign w:val="center"/>
          </w:tcPr>
          <w:p w14:paraId="23777593" w14:textId="77777777" w:rsidR="00385F3B" w:rsidRPr="00A60228" w:rsidRDefault="00385F3B" w:rsidP="0066531F">
            <w:pPr>
              <w:pStyle w:val="BodyText"/>
              <w:spacing w:before="60" w:after="60"/>
              <w:jc w:val="center"/>
              <w:rPr>
                <w:rFonts w:ascii="Arial Narrow" w:hAnsi="Arial Narrow" w:cs="Arial"/>
                <w:b w:val="0"/>
                <w:szCs w:val="24"/>
              </w:rPr>
            </w:pPr>
            <w:r w:rsidRPr="00A60228">
              <w:rPr>
                <w:rFonts w:ascii="Arial Narrow" w:hAnsi="Arial Narrow" w:cs="Arial"/>
                <w:b w:val="0"/>
                <w:szCs w:val="24"/>
              </w:rPr>
              <w:t>Performance Measure</w:t>
            </w:r>
          </w:p>
        </w:tc>
        <w:tc>
          <w:tcPr>
            <w:tcW w:w="5925" w:type="dxa"/>
            <w:gridSpan w:val="6"/>
            <w:tcBorders>
              <w:top w:val="single" w:sz="8" w:space="0" w:color="auto"/>
              <w:bottom w:val="single" w:sz="8" w:space="0" w:color="FFFFFF" w:themeColor="background1"/>
              <w:right w:val="single" w:sz="8" w:space="0" w:color="auto"/>
            </w:tcBorders>
          </w:tcPr>
          <w:p w14:paraId="38E64B04" w14:textId="77777777" w:rsidR="00385F3B" w:rsidRPr="00A60228" w:rsidRDefault="00385F3B" w:rsidP="005721F5">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Cs w:val="24"/>
              </w:rPr>
            </w:pPr>
            <w:r w:rsidRPr="00A60228">
              <w:rPr>
                <w:rFonts w:ascii="Arial Narrow" w:hAnsi="Arial Narrow" w:cs="Arial"/>
                <w:b w:val="0"/>
                <w:szCs w:val="24"/>
              </w:rPr>
              <w:t>Satisfaction Level (delighted &amp; satisfied)</w:t>
            </w:r>
          </w:p>
        </w:tc>
      </w:tr>
      <w:tr w:rsidR="00385F3B" w:rsidRPr="00A60228" w14:paraId="4ACA7600" w14:textId="77777777" w:rsidTr="00BA2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vMerge/>
            <w:tcBorders>
              <w:left w:val="single" w:sz="8" w:space="0" w:color="auto"/>
              <w:bottom w:val="thinThickSmallGap" w:sz="24" w:space="0" w:color="auto"/>
              <w:right w:val="single" w:sz="8" w:space="0" w:color="FFFFFF" w:themeColor="background1"/>
            </w:tcBorders>
          </w:tcPr>
          <w:p w14:paraId="123D3B73" w14:textId="77777777" w:rsidR="00385F3B" w:rsidRPr="00A60228" w:rsidRDefault="00385F3B" w:rsidP="005721F5">
            <w:pPr>
              <w:pStyle w:val="BodyText"/>
              <w:spacing w:before="60" w:after="60"/>
              <w:jc w:val="center"/>
              <w:rPr>
                <w:rFonts w:ascii="Arial Narrow" w:hAnsi="Arial Narrow" w:cs="Arial"/>
                <w:b w:val="0"/>
                <w:szCs w:val="24"/>
              </w:rPr>
            </w:pPr>
          </w:p>
        </w:tc>
        <w:tc>
          <w:tcPr>
            <w:tcW w:w="960" w:type="dxa"/>
            <w:tcBorders>
              <w:bottom w:val="thinThickSmallGap" w:sz="24" w:space="0" w:color="auto"/>
            </w:tcBorders>
            <w:shd w:val="clear" w:color="auto" w:fill="4BACC6" w:themeFill="accent5"/>
          </w:tcPr>
          <w:p w14:paraId="521E7807" w14:textId="1E631334" w:rsidR="00385F3B" w:rsidRPr="0066531F" w:rsidRDefault="00F2488D"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Pr>
                <w:rFonts w:ascii="Arial Narrow" w:hAnsi="Arial Narrow" w:cs="Arial"/>
                <w:color w:val="FFFFFF" w:themeColor="background1"/>
                <w:szCs w:val="24"/>
              </w:rPr>
              <w:t>201</w:t>
            </w:r>
            <w:r w:rsidR="00E3067C">
              <w:rPr>
                <w:rFonts w:ascii="Arial Narrow" w:hAnsi="Arial Narrow" w:cs="Arial"/>
                <w:color w:val="FFFFFF" w:themeColor="background1"/>
                <w:szCs w:val="24"/>
              </w:rPr>
              <w:t>5</w:t>
            </w:r>
            <w:r w:rsidR="00FC6604">
              <w:rPr>
                <w:rFonts w:ascii="Arial Narrow" w:hAnsi="Arial Narrow" w:cs="Arial"/>
                <w:color w:val="FFFFFF" w:themeColor="background1"/>
                <w:szCs w:val="24"/>
              </w:rPr>
              <w:t>-16</w:t>
            </w:r>
          </w:p>
        </w:tc>
        <w:tc>
          <w:tcPr>
            <w:tcW w:w="960" w:type="dxa"/>
            <w:tcBorders>
              <w:bottom w:val="thinThickSmallGap" w:sz="24" w:space="0" w:color="auto"/>
            </w:tcBorders>
            <w:shd w:val="clear" w:color="auto" w:fill="4BACC6" w:themeFill="accent5"/>
          </w:tcPr>
          <w:p w14:paraId="75EF88CB" w14:textId="2F1C2B64" w:rsidR="00385F3B" w:rsidRPr="0066531F" w:rsidRDefault="00F2488D"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Pr>
                <w:rFonts w:ascii="Arial Narrow" w:hAnsi="Arial Narrow" w:cs="Arial"/>
                <w:color w:val="FFFFFF" w:themeColor="background1"/>
                <w:szCs w:val="24"/>
              </w:rPr>
              <w:t>201</w:t>
            </w:r>
            <w:r w:rsidR="00E3067C">
              <w:rPr>
                <w:rFonts w:ascii="Arial Narrow" w:hAnsi="Arial Narrow" w:cs="Arial"/>
                <w:color w:val="FFFFFF" w:themeColor="background1"/>
                <w:szCs w:val="24"/>
              </w:rPr>
              <w:t>6</w:t>
            </w:r>
            <w:r w:rsidR="00FC6604">
              <w:rPr>
                <w:rFonts w:ascii="Arial Narrow" w:hAnsi="Arial Narrow" w:cs="Arial"/>
                <w:color w:val="FFFFFF" w:themeColor="background1"/>
                <w:szCs w:val="24"/>
              </w:rPr>
              <w:t>-17</w:t>
            </w:r>
          </w:p>
        </w:tc>
        <w:tc>
          <w:tcPr>
            <w:tcW w:w="959" w:type="dxa"/>
            <w:tcBorders>
              <w:bottom w:val="thinThickSmallGap" w:sz="24" w:space="0" w:color="auto"/>
            </w:tcBorders>
            <w:shd w:val="clear" w:color="auto" w:fill="4BACC6" w:themeFill="accent5"/>
          </w:tcPr>
          <w:p w14:paraId="015FD54D" w14:textId="37A7C617" w:rsidR="00385F3B" w:rsidRPr="0066531F" w:rsidRDefault="00F2488D"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Pr>
                <w:rFonts w:ascii="Arial Narrow" w:hAnsi="Arial Narrow" w:cs="Arial"/>
                <w:color w:val="FFFFFF" w:themeColor="background1"/>
                <w:szCs w:val="24"/>
              </w:rPr>
              <w:t>201</w:t>
            </w:r>
            <w:r w:rsidR="00E3067C">
              <w:rPr>
                <w:rFonts w:ascii="Arial Narrow" w:hAnsi="Arial Narrow" w:cs="Arial"/>
                <w:color w:val="FFFFFF" w:themeColor="background1"/>
                <w:szCs w:val="24"/>
              </w:rPr>
              <w:t>7</w:t>
            </w:r>
            <w:r w:rsidR="00FC6604">
              <w:rPr>
                <w:rFonts w:ascii="Arial Narrow" w:hAnsi="Arial Narrow" w:cs="Arial"/>
                <w:color w:val="FFFFFF" w:themeColor="background1"/>
                <w:szCs w:val="24"/>
              </w:rPr>
              <w:t>-18</w:t>
            </w:r>
          </w:p>
        </w:tc>
        <w:tc>
          <w:tcPr>
            <w:tcW w:w="959" w:type="dxa"/>
            <w:tcBorders>
              <w:bottom w:val="thinThickSmallGap" w:sz="24" w:space="0" w:color="auto"/>
            </w:tcBorders>
            <w:shd w:val="clear" w:color="auto" w:fill="4BACC6" w:themeFill="accent5"/>
          </w:tcPr>
          <w:p w14:paraId="5486A0B2" w14:textId="683BFE4E" w:rsidR="00385F3B" w:rsidRPr="0066531F" w:rsidRDefault="00F2488D"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Pr>
                <w:rFonts w:ascii="Arial Narrow" w:hAnsi="Arial Narrow" w:cs="Arial"/>
                <w:color w:val="FFFFFF" w:themeColor="background1"/>
                <w:szCs w:val="24"/>
              </w:rPr>
              <w:t>201</w:t>
            </w:r>
            <w:r w:rsidR="00E3067C">
              <w:rPr>
                <w:rFonts w:ascii="Arial Narrow" w:hAnsi="Arial Narrow" w:cs="Arial"/>
                <w:color w:val="FFFFFF" w:themeColor="background1"/>
                <w:szCs w:val="24"/>
              </w:rPr>
              <w:t>8</w:t>
            </w:r>
            <w:r w:rsidR="00FC6604">
              <w:rPr>
                <w:rFonts w:ascii="Arial Narrow" w:hAnsi="Arial Narrow" w:cs="Arial"/>
                <w:color w:val="FFFFFF" w:themeColor="background1"/>
                <w:szCs w:val="24"/>
              </w:rPr>
              <w:t>-19</w:t>
            </w:r>
          </w:p>
        </w:tc>
        <w:tc>
          <w:tcPr>
            <w:tcW w:w="959" w:type="dxa"/>
            <w:tcBorders>
              <w:bottom w:val="thinThickSmallGap" w:sz="24" w:space="0" w:color="auto"/>
            </w:tcBorders>
            <w:shd w:val="clear" w:color="auto" w:fill="4BACC6" w:themeFill="accent5"/>
          </w:tcPr>
          <w:p w14:paraId="4BCFAF92" w14:textId="6F656B1D" w:rsidR="00385F3B" w:rsidRDefault="00F2488D" w:rsidP="003C790C">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Pr>
                <w:rFonts w:ascii="Arial Narrow" w:hAnsi="Arial Narrow" w:cs="Arial"/>
                <w:color w:val="FFFFFF" w:themeColor="background1"/>
                <w:szCs w:val="24"/>
              </w:rPr>
              <w:t>201</w:t>
            </w:r>
            <w:r w:rsidR="00E3067C">
              <w:rPr>
                <w:rFonts w:ascii="Arial Narrow" w:hAnsi="Arial Narrow" w:cs="Arial"/>
                <w:color w:val="FFFFFF" w:themeColor="background1"/>
                <w:szCs w:val="24"/>
              </w:rPr>
              <w:t>9</w:t>
            </w:r>
            <w:r w:rsidR="00FC6604">
              <w:rPr>
                <w:rFonts w:ascii="Arial Narrow" w:hAnsi="Arial Narrow" w:cs="Arial"/>
                <w:color w:val="FFFFFF" w:themeColor="background1"/>
                <w:szCs w:val="24"/>
              </w:rPr>
              <w:t>-20</w:t>
            </w:r>
          </w:p>
          <w:p w14:paraId="798F5059" w14:textId="77777777" w:rsidR="00385F3B" w:rsidRPr="0066531F" w:rsidRDefault="00385F3B" w:rsidP="003C790C">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p>
        </w:tc>
        <w:tc>
          <w:tcPr>
            <w:tcW w:w="1128" w:type="dxa"/>
            <w:tcBorders>
              <w:bottom w:val="thinThickSmallGap" w:sz="24" w:space="0" w:color="auto"/>
              <w:right w:val="single" w:sz="8" w:space="0" w:color="auto"/>
            </w:tcBorders>
            <w:shd w:val="clear" w:color="auto" w:fill="4BACC6" w:themeFill="accent5"/>
          </w:tcPr>
          <w:p w14:paraId="0A0A5E25" w14:textId="77777777" w:rsidR="00385F3B" w:rsidRPr="0066531F" w:rsidRDefault="00385F3B" w:rsidP="003C790C">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Cs w:val="24"/>
              </w:rPr>
            </w:pPr>
            <w:r w:rsidRPr="0066531F">
              <w:rPr>
                <w:rFonts w:ascii="Arial Narrow" w:hAnsi="Arial Narrow" w:cs="Arial"/>
                <w:color w:val="FFFFFF" w:themeColor="background1"/>
                <w:szCs w:val="24"/>
              </w:rPr>
              <w:t>Status from last year</w:t>
            </w:r>
          </w:p>
        </w:tc>
      </w:tr>
      <w:tr w:rsidR="00E3067C" w:rsidRPr="00A60228" w14:paraId="79ED0DFD" w14:textId="77777777" w:rsidTr="00BA2B79">
        <w:trPr>
          <w:trHeight w:val="454"/>
        </w:trPr>
        <w:tc>
          <w:tcPr>
            <w:cnfStyle w:val="001000000000" w:firstRow="0" w:lastRow="0" w:firstColumn="1" w:lastColumn="0" w:oddVBand="0" w:evenVBand="0" w:oddHBand="0" w:evenHBand="0" w:firstRowFirstColumn="0" w:firstRowLastColumn="0" w:lastRowFirstColumn="0" w:lastRowLastColumn="0"/>
            <w:tcW w:w="3255" w:type="dxa"/>
            <w:tcBorders>
              <w:top w:val="thinThickSmallGap" w:sz="24" w:space="0" w:color="auto"/>
              <w:left w:val="single" w:sz="8" w:space="0" w:color="auto"/>
              <w:bottom w:val="single" w:sz="8" w:space="0" w:color="FFFFFF" w:themeColor="background1"/>
              <w:right w:val="thinThickSmallGap" w:sz="24" w:space="0" w:color="auto"/>
            </w:tcBorders>
          </w:tcPr>
          <w:p w14:paraId="541DBF8E" w14:textId="77777777" w:rsidR="00E3067C" w:rsidRPr="00BA2B79" w:rsidRDefault="00E3067C" w:rsidP="003F0333">
            <w:pPr>
              <w:pStyle w:val="BodyText"/>
              <w:spacing w:before="60" w:after="60"/>
              <w:jc w:val="left"/>
              <w:rPr>
                <w:rFonts w:ascii="Arial Narrow" w:hAnsi="Arial Narrow" w:cs="Arial"/>
                <w:b w:val="0"/>
                <w:szCs w:val="24"/>
              </w:rPr>
            </w:pPr>
            <w:r w:rsidRPr="00BA2B79">
              <w:rPr>
                <w:rFonts w:ascii="Arial Narrow" w:hAnsi="Arial Narrow" w:cs="Arial"/>
                <w:b w:val="0"/>
                <w:szCs w:val="24"/>
              </w:rPr>
              <w:t>Overall satisfaction with City of Cockburn (as a place to live)</w:t>
            </w:r>
          </w:p>
        </w:tc>
        <w:tc>
          <w:tcPr>
            <w:tcW w:w="960" w:type="dxa"/>
            <w:tcBorders>
              <w:top w:val="thinThickSmallGap" w:sz="24" w:space="0" w:color="auto"/>
              <w:left w:val="thinThickSmallGap" w:sz="24" w:space="0" w:color="auto"/>
              <w:bottom w:val="single" w:sz="8" w:space="0" w:color="FFFFFF" w:themeColor="background1"/>
            </w:tcBorders>
            <w:shd w:val="clear" w:color="auto" w:fill="B6DDE8" w:themeFill="accent5" w:themeFillTint="66"/>
            <w:vAlign w:val="center"/>
          </w:tcPr>
          <w:p w14:paraId="144A9776" w14:textId="77777777" w:rsidR="00E3067C" w:rsidRPr="00A60228" w:rsidRDefault="00E3067C" w:rsidP="00771A2D">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93</w:t>
            </w:r>
          </w:p>
        </w:tc>
        <w:tc>
          <w:tcPr>
            <w:tcW w:w="960" w:type="dxa"/>
            <w:tcBorders>
              <w:top w:val="thinThickSmallGap" w:sz="24" w:space="0" w:color="auto"/>
              <w:bottom w:val="single" w:sz="8" w:space="0" w:color="FFFFFF" w:themeColor="background1"/>
            </w:tcBorders>
            <w:shd w:val="clear" w:color="auto" w:fill="B6DDE8" w:themeFill="accent5" w:themeFillTint="66"/>
            <w:vAlign w:val="center"/>
          </w:tcPr>
          <w:p w14:paraId="0CA13A6D" w14:textId="77777777" w:rsidR="00E3067C" w:rsidRPr="00A60228" w:rsidRDefault="00E3067C" w:rsidP="00771A2D">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99</w:t>
            </w:r>
          </w:p>
        </w:tc>
        <w:tc>
          <w:tcPr>
            <w:tcW w:w="959" w:type="dxa"/>
            <w:tcBorders>
              <w:top w:val="thinThickSmallGap" w:sz="24" w:space="0" w:color="auto"/>
              <w:bottom w:val="single" w:sz="8" w:space="0" w:color="FFFFFF" w:themeColor="background1"/>
            </w:tcBorders>
            <w:shd w:val="clear" w:color="auto" w:fill="B6DDE8" w:themeFill="accent5" w:themeFillTint="66"/>
            <w:vAlign w:val="center"/>
          </w:tcPr>
          <w:p w14:paraId="204B0FB0" w14:textId="77777777" w:rsidR="00E3067C" w:rsidRPr="00A60228" w:rsidRDefault="00E3067C" w:rsidP="00683AB5">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97</w:t>
            </w:r>
          </w:p>
        </w:tc>
        <w:tc>
          <w:tcPr>
            <w:tcW w:w="959" w:type="dxa"/>
            <w:tcBorders>
              <w:top w:val="thinThickSmallGap" w:sz="24" w:space="0" w:color="auto"/>
              <w:bottom w:val="single" w:sz="8" w:space="0" w:color="FFFFFF" w:themeColor="background1"/>
            </w:tcBorders>
            <w:shd w:val="clear" w:color="auto" w:fill="B6DDE8" w:themeFill="accent5" w:themeFillTint="66"/>
            <w:vAlign w:val="center"/>
          </w:tcPr>
          <w:p w14:paraId="7AA58D3A" w14:textId="77777777" w:rsidR="00E3067C" w:rsidRPr="00A60228" w:rsidRDefault="0064242A" w:rsidP="00683AB5">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97</w:t>
            </w:r>
          </w:p>
        </w:tc>
        <w:tc>
          <w:tcPr>
            <w:tcW w:w="959" w:type="dxa"/>
            <w:tcBorders>
              <w:top w:val="thinThickSmallGap" w:sz="24" w:space="0" w:color="auto"/>
              <w:bottom w:val="single" w:sz="8" w:space="0" w:color="FFFFFF" w:themeColor="background1"/>
            </w:tcBorders>
            <w:shd w:val="clear" w:color="auto" w:fill="B6DDE8" w:themeFill="accent5" w:themeFillTint="66"/>
            <w:vAlign w:val="center"/>
          </w:tcPr>
          <w:p w14:paraId="3C27F669" w14:textId="77777777" w:rsidR="00E3067C" w:rsidRPr="00A60228" w:rsidRDefault="00E3067C" w:rsidP="00683AB5">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98</w:t>
            </w:r>
          </w:p>
        </w:tc>
        <w:tc>
          <w:tcPr>
            <w:tcW w:w="1128" w:type="dxa"/>
            <w:tcBorders>
              <w:top w:val="thinThickSmallGap" w:sz="24" w:space="0" w:color="auto"/>
              <w:bottom w:val="single" w:sz="8" w:space="0" w:color="FFFFFF" w:themeColor="background1"/>
              <w:right w:val="single" w:sz="8" w:space="0" w:color="auto"/>
            </w:tcBorders>
            <w:shd w:val="clear" w:color="auto" w:fill="B6DDE8" w:themeFill="accent5" w:themeFillTint="66"/>
            <w:vAlign w:val="center"/>
          </w:tcPr>
          <w:p w14:paraId="6424FC39" w14:textId="77777777" w:rsidR="00E3067C" w:rsidRPr="00A60228" w:rsidRDefault="00E3067C" w:rsidP="00A33F73">
            <w:pPr>
              <w:pStyle w:val="BodyText"/>
              <w:spacing w:before="60" w:after="60"/>
              <w:ind w:left="120" w:hanging="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noProof/>
                <w:szCs w:val="24"/>
                <w:lang w:eastAsia="en-AU"/>
              </w:rPr>
              <mc:AlternateContent>
                <mc:Choice Requires="wps">
                  <w:drawing>
                    <wp:anchor distT="0" distB="0" distL="114300" distR="114300" simplePos="0" relativeHeight="251608064" behindDoc="0" locked="0" layoutInCell="1" allowOverlap="1" wp14:anchorId="58C28BEB" wp14:editId="3A7EA531">
                      <wp:simplePos x="0" y="0"/>
                      <wp:positionH relativeFrom="column">
                        <wp:posOffset>236220</wp:posOffset>
                      </wp:positionH>
                      <wp:positionV relativeFrom="paragraph">
                        <wp:posOffset>69850</wp:posOffset>
                      </wp:positionV>
                      <wp:extent cx="179705" cy="179705"/>
                      <wp:effectExtent l="0" t="0" r="10795" b="10795"/>
                      <wp:wrapNone/>
                      <wp:docPr id="455" name="Flowchart: Connector 45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FA356" id="Flowchart: Connector 455" o:spid="_x0000_s1026" type="#_x0000_t120" style="position:absolute;margin-left:18.6pt;margin-top:5.5pt;width:14.15pt;height:1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" fillcolor="#9bbb59" strokecolor="windowText" strokeweight=".5pt"/>
                  </w:pict>
                </mc:Fallback>
              </mc:AlternateContent>
            </w:r>
          </w:p>
        </w:tc>
      </w:tr>
      <w:tr w:rsidR="00E3067C" w:rsidRPr="00A60228" w14:paraId="0AA641DC" w14:textId="77777777" w:rsidTr="00BA2B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5" w:type="dxa"/>
            <w:tcBorders>
              <w:left w:val="single" w:sz="8" w:space="0" w:color="auto"/>
              <w:right w:val="thinThickSmallGap" w:sz="24" w:space="0" w:color="auto"/>
            </w:tcBorders>
          </w:tcPr>
          <w:p w14:paraId="163EA9B6" w14:textId="77777777" w:rsidR="00E3067C" w:rsidRPr="00BA2B79" w:rsidRDefault="00E3067C" w:rsidP="003F0333">
            <w:pPr>
              <w:pStyle w:val="BodyText"/>
              <w:spacing w:before="60" w:after="60"/>
              <w:jc w:val="left"/>
              <w:rPr>
                <w:rFonts w:ascii="Arial Narrow" w:hAnsi="Arial Narrow" w:cs="Arial"/>
                <w:b w:val="0"/>
                <w:szCs w:val="24"/>
              </w:rPr>
            </w:pPr>
            <w:r w:rsidRPr="00BA2B79">
              <w:rPr>
                <w:rFonts w:ascii="Arial Narrow" w:hAnsi="Arial Narrow" w:cs="Arial"/>
                <w:b w:val="0"/>
                <w:szCs w:val="24"/>
              </w:rPr>
              <w:t>Footpaths</w:t>
            </w:r>
          </w:p>
        </w:tc>
        <w:tc>
          <w:tcPr>
            <w:tcW w:w="960" w:type="dxa"/>
            <w:vMerge w:val="restart"/>
            <w:tcBorders>
              <w:left w:val="thinThickSmallGap" w:sz="24" w:space="0" w:color="auto"/>
            </w:tcBorders>
            <w:shd w:val="clear" w:color="auto" w:fill="DAEEF3" w:themeFill="accent5" w:themeFillTint="33"/>
            <w:vAlign w:val="center"/>
          </w:tcPr>
          <w:p w14:paraId="7D0155E6" w14:textId="77777777" w:rsidR="00E3067C" w:rsidRPr="00A60228" w:rsidRDefault="00E3067C" w:rsidP="00A33F7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82</w:t>
            </w:r>
          </w:p>
        </w:tc>
        <w:tc>
          <w:tcPr>
            <w:tcW w:w="960" w:type="dxa"/>
            <w:vMerge w:val="restart"/>
            <w:shd w:val="clear" w:color="auto" w:fill="DAEEF3" w:themeFill="accent5" w:themeFillTint="33"/>
            <w:vAlign w:val="center"/>
          </w:tcPr>
          <w:p w14:paraId="37494DE5" w14:textId="77777777" w:rsidR="00E3067C" w:rsidRPr="00A60228" w:rsidRDefault="00E3067C" w:rsidP="00771A2D">
            <w:pPr>
              <w:pStyle w:val="BodyText"/>
              <w:spacing w:before="60" w:after="60"/>
              <w:ind w:left="120" w:hanging="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56</w:t>
            </w:r>
          </w:p>
        </w:tc>
        <w:tc>
          <w:tcPr>
            <w:tcW w:w="959" w:type="dxa"/>
            <w:vMerge w:val="restart"/>
            <w:shd w:val="clear" w:color="auto" w:fill="DAEEF3" w:themeFill="accent5" w:themeFillTint="33"/>
            <w:vAlign w:val="center"/>
          </w:tcPr>
          <w:p w14:paraId="123E0F0E" w14:textId="77777777" w:rsidR="00E3067C" w:rsidRPr="00A60228" w:rsidRDefault="00E3067C" w:rsidP="00A56E78">
            <w:pPr>
              <w:pStyle w:val="BodyText"/>
              <w:spacing w:before="60" w:after="60"/>
              <w:ind w:left="120" w:hanging="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59</w:t>
            </w:r>
          </w:p>
        </w:tc>
        <w:tc>
          <w:tcPr>
            <w:tcW w:w="959" w:type="dxa"/>
            <w:vMerge w:val="restart"/>
            <w:shd w:val="clear" w:color="auto" w:fill="DAEEF3" w:themeFill="accent5" w:themeFillTint="33"/>
            <w:vAlign w:val="center"/>
          </w:tcPr>
          <w:p w14:paraId="71D43CC9" w14:textId="77777777" w:rsidR="00E3067C" w:rsidRPr="00A60228" w:rsidRDefault="0064242A" w:rsidP="00385F3B">
            <w:pPr>
              <w:pStyle w:val="BodyText"/>
              <w:spacing w:before="60" w:after="60"/>
              <w:ind w:left="120" w:hanging="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85</w:t>
            </w:r>
          </w:p>
        </w:tc>
        <w:tc>
          <w:tcPr>
            <w:tcW w:w="959" w:type="dxa"/>
            <w:vMerge w:val="restart"/>
            <w:shd w:val="clear" w:color="auto" w:fill="DAEEF3" w:themeFill="accent5" w:themeFillTint="33"/>
            <w:vAlign w:val="center"/>
          </w:tcPr>
          <w:p w14:paraId="762CEDC4" w14:textId="77777777" w:rsidR="00E3067C" w:rsidRPr="00A60228" w:rsidRDefault="00E3067C" w:rsidP="00A33F73">
            <w:pPr>
              <w:pStyle w:val="BodyText"/>
              <w:spacing w:before="60" w:after="60"/>
              <w:ind w:left="120" w:hanging="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82</w:t>
            </w:r>
          </w:p>
        </w:tc>
        <w:tc>
          <w:tcPr>
            <w:tcW w:w="1128" w:type="dxa"/>
            <w:vMerge w:val="restart"/>
            <w:tcBorders>
              <w:right w:val="single" w:sz="8" w:space="0" w:color="auto"/>
            </w:tcBorders>
            <w:shd w:val="clear" w:color="auto" w:fill="DAEEF3" w:themeFill="accent5" w:themeFillTint="33"/>
            <w:vAlign w:val="center"/>
          </w:tcPr>
          <w:p w14:paraId="34AA770F" w14:textId="77777777" w:rsidR="00E3067C" w:rsidRPr="00A60228" w:rsidRDefault="00E3067C" w:rsidP="00A33F7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noProof/>
                <w:szCs w:val="24"/>
                <w:lang w:eastAsia="en-AU"/>
              </w:rPr>
              <mc:AlternateContent>
                <mc:Choice Requires="wps">
                  <w:drawing>
                    <wp:anchor distT="0" distB="0" distL="114300" distR="114300" simplePos="0" relativeHeight="251616256" behindDoc="0" locked="0" layoutInCell="1" allowOverlap="1" wp14:anchorId="27941514" wp14:editId="76F976A8">
                      <wp:simplePos x="0" y="0"/>
                      <wp:positionH relativeFrom="column">
                        <wp:posOffset>239395</wp:posOffset>
                      </wp:positionH>
                      <wp:positionV relativeFrom="paragraph">
                        <wp:posOffset>31115</wp:posOffset>
                      </wp:positionV>
                      <wp:extent cx="179705" cy="179705"/>
                      <wp:effectExtent l="0" t="0" r="10795" b="10795"/>
                      <wp:wrapNone/>
                      <wp:docPr id="20" name="Flowchart: Connector 20"/>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0000"/>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334D" id="Flowchart: Connector 20" o:spid="_x0000_s1026" type="#_x0000_t120" style="position:absolute;margin-left:18.85pt;margin-top:2.45pt;width:14.15pt;height:1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" fillcolor="red" strokecolor="black [3213]" strokeweight=".5pt"/>
                  </w:pict>
                </mc:Fallback>
              </mc:AlternateContent>
            </w:r>
          </w:p>
        </w:tc>
      </w:tr>
      <w:tr w:rsidR="00E3067C" w:rsidRPr="00A60228" w14:paraId="523964B2" w14:textId="77777777" w:rsidTr="00BA2B79">
        <w:trPr>
          <w:trHeight w:val="454"/>
        </w:trPr>
        <w:tc>
          <w:tcPr>
            <w:cnfStyle w:val="001000000000" w:firstRow="0" w:lastRow="0" w:firstColumn="1" w:lastColumn="0" w:oddVBand="0" w:evenVBand="0" w:oddHBand="0" w:evenHBand="0" w:firstRowFirstColumn="0" w:firstRowLastColumn="0" w:lastRowFirstColumn="0" w:lastRowLastColumn="0"/>
            <w:tcW w:w="3255" w:type="dxa"/>
            <w:tcBorders>
              <w:left w:val="single" w:sz="8" w:space="0" w:color="auto"/>
              <w:right w:val="thinThickSmallGap" w:sz="24" w:space="0" w:color="auto"/>
            </w:tcBorders>
          </w:tcPr>
          <w:p w14:paraId="27394C5F" w14:textId="77777777" w:rsidR="00E3067C" w:rsidRPr="00BA2B79" w:rsidRDefault="00E3067C" w:rsidP="003F0333">
            <w:pPr>
              <w:pStyle w:val="BodyText"/>
              <w:spacing w:before="60" w:after="60"/>
              <w:jc w:val="left"/>
              <w:rPr>
                <w:rFonts w:ascii="Arial Narrow" w:hAnsi="Arial Narrow" w:cs="Arial"/>
                <w:b w:val="0"/>
                <w:szCs w:val="24"/>
              </w:rPr>
            </w:pPr>
            <w:r w:rsidRPr="00BA2B79">
              <w:rPr>
                <w:rFonts w:ascii="Arial Narrow" w:hAnsi="Arial Narrow" w:cs="Arial"/>
                <w:b w:val="0"/>
                <w:szCs w:val="24"/>
              </w:rPr>
              <w:t>Cycleways</w:t>
            </w:r>
          </w:p>
        </w:tc>
        <w:tc>
          <w:tcPr>
            <w:tcW w:w="960" w:type="dxa"/>
            <w:vMerge/>
            <w:tcBorders>
              <w:left w:val="thinThickSmallGap" w:sz="24" w:space="0" w:color="auto"/>
            </w:tcBorders>
            <w:shd w:val="clear" w:color="auto" w:fill="DAEEF3" w:themeFill="accent5" w:themeFillTint="33"/>
            <w:vAlign w:val="center"/>
          </w:tcPr>
          <w:p w14:paraId="5C339BDF"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960" w:type="dxa"/>
            <w:vMerge/>
            <w:shd w:val="clear" w:color="auto" w:fill="DAEEF3" w:themeFill="accent5" w:themeFillTint="33"/>
            <w:vAlign w:val="center"/>
          </w:tcPr>
          <w:p w14:paraId="42EF9F2A"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959" w:type="dxa"/>
            <w:vMerge/>
            <w:vAlign w:val="center"/>
          </w:tcPr>
          <w:p w14:paraId="7DB9F056"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959" w:type="dxa"/>
            <w:vMerge/>
            <w:vAlign w:val="center"/>
          </w:tcPr>
          <w:p w14:paraId="61460A87"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959" w:type="dxa"/>
            <w:vMerge/>
            <w:vAlign w:val="center"/>
          </w:tcPr>
          <w:p w14:paraId="570EBD79"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1128" w:type="dxa"/>
            <w:vMerge/>
            <w:tcBorders>
              <w:right w:val="single" w:sz="8" w:space="0" w:color="auto"/>
            </w:tcBorders>
            <w:vAlign w:val="center"/>
          </w:tcPr>
          <w:p w14:paraId="6B87C264" w14:textId="77777777" w:rsidR="00E3067C" w:rsidRPr="00A60228" w:rsidRDefault="00E3067C" w:rsidP="00A33F7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r>
      <w:tr w:rsidR="00E3067C" w:rsidRPr="00A60228" w14:paraId="722B18FE" w14:textId="77777777" w:rsidTr="00BA2B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5" w:type="dxa"/>
            <w:tcBorders>
              <w:left w:val="single" w:sz="8" w:space="0" w:color="auto"/>
              <w:bottom w:val="single" w:sz="8" w:space="0" w:color="auto"/>
              <w:right w:val="thinThickSmallGap" w:sz="24" w:space="0" w:color="auto"/>
            </w:tcBorders>
          </w:tcPr>
          <w:p w14:paraId="7ED8EFEE" w14:textId="77777777" w:rsidR="00E3067C" w:rsidRPr="00BA2B79" w:rsidRDefault="00E3067C" w:rsidP="003F0333">
            <w:pPr>
              <w:pStyle w:val="BodyText"/>
              <w:spacing w:before="60" w:after="60"/>
              <w:jc w:val="left"/>
              <w:rPr>
                <w:rFonts w:ascii="Arial Narrow" w:hAnsi="Arial Narrow" w:cs="Arial"/>
                <w:b w:val="0"/>
                <w:szCs w:val="24"/>
              </w:rPr>
            </w:pPr>
            <w:r w:rsidRPr="00BA2B79">
              <w:rPr>
                <w:rFonts w:ascii="Arial Narrow" w:hAnsi="Arial Narrow" w:cs="Arial"/>
                <w:b w:val="0"/>
                <w:szCs w:val="24"/>
              </w:rPr>
              <w:t>Access to public transport</w:t>
            </w:r>
          </w:p>
        </w:tc>
        <w:tc>
          <w:tcPr>
            <w:tcW w:w="960" w:type="dxa"/>
            <w:tcBorders>
              <w:left w:val="thinThickSmallGap" w:sz="24" w:space="0" w:color="auto"/>
              <w:bottom w:val="single" w:sz="8" w:space="0" w:color="auto"/>
            </w:tcBorders>
            <w:shd w:val="clear" w:color="auto" w:fill="B6DDE8" w:themeFill="accent5" w:themeFillTint="66"/>
            <w:vAlign w:val="center"/>
          </w:tcPr>
          <w:p w14:paraId="6379738C" w14:textId="77777777" w:rsidR="00E3067C" w:rsidRPr="00A60228" w:rsidRDefault="00E3067C"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80</w:t>
            </w:r>
          </w:p>
        </w:tc>
        <w:tc>
          <w:tcPr>
            <w:tcW w:w="960" w:type="dxa"/>
            <w:tcBorders>
              <w:bottom w:val="single" w:sz="8" w:space="0" w:color="auto"/>
            </w:tcBorders>
            <w:shd w:val="clear" w:color="auto" w:fill="B6DDE8" w:themeFill="accent5" w:themeFillTint="66"/>
            <w:vAlign w:val="center"/>
          </w:tcPr>
          <w:p w14:paraId="4552A5E3" w14:textId="77777777" w:rsidR="00E3067C" w:rsidRPr="00A60228" w:rsidRDefault="00E3067C" w:rsidP="00771A2D">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61</w:t>
            </w:r>
          </w:p>
        </w:tc>
        <w:tc>
          <w:tcPr>
            <w:tcW w:w="959" w:type="dxa"/>
            <w:tcBorders>
              <w:bottom w:val="single" w:sz="8" w:space="0" w:color="auto"/>
            </w:tcBorders>
            <w:shd w:val="clear" w:color="auto" w:fill="B6DDE8" w:themeFill="accent5" w:themeFillTint="66"/>
            <w:vAlign w:val="center"/>
          </w:tcPr>
          <w:p w14:paraId="0EB2E21D" w14:textId="77777777" w:rsidR="00E3067C" w:rsidRPr="00A60228" w:rsidRDefault="00E3067C" w:rsidP="00A56E78">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61</w:t>
            </w:r>
          </w:p>
        </w:tc>
        <w:tc>
          <w:tcPr>
            <w:tcW w:w="959" w:type="dxa"/>
            <w:tcBorders>
              <w:bottom w:val="single" w:sz="8" w:space="0" w:color="auto"/>
            </w:tcBorders>
            <w:shd w:val="clear" w:color="auto" w:fill="B6DDE8" w:themeFill="accent5" w:themeFillTint="66"/>
            <w:vAlign w:val="center"/>
          </w:tcPr>
          <w:p w14:paraId="7F99348B" w14:textId="77777777" w:rsidR="00E3067C" w:rsidRPr="00A60228" w:rsidRDefault="00210662" w:rsidP="00385F3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85</w:t>
            </w:r>
          </w:p>
        </w:tc>
        <w:tc>
          <w:tcPr>
            <w:tcW w:w="959" w:type="dxa"/>
            <w:tcBorders>
              <w:bottom w:val="single" w:sz="8" w:space="0" w:color="auto"/>
            </w:tcBorders>
            <w:shd w:val="clear" w:color="auto" w:fill="B6DDE8" w:themeFill="accent5" w:themeFillTint="66"/>
            <w:vAlign w:val="center"/>
          </w:tcPr>
          <w:p w14:paraId="3381B9AC" w14:textId="77777777" w:rsidR="00E3067C" w:rsidRPr="00A60228" w:rsidRDefault="002C1906" w:rsidP="00A33F7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83</w:t>
            </w:r>
          </w:p>
        </w:tc>
        <w:tc>
          <w:tcPr>
            <w:tcW w:w="1128" w:type="dxa"/>
            <w:tcBorders>
              <w:bottom w:val="single" w:sz="8" w:space="0" w:color="auto"/>
              <w:right w:val="single" w:sz="8" w:space="0" w:color="auto"/>
            </w:tcBorders>
            <w:shd w:val="clear" w:color="auto" w:fill="B6DDE8" w:themeFill="accent5" w:themeFillTint="66"/>
            <w:vAlign w:val="center"/>
          </w:tcPr>
          <w:p w14:paraId="12BCDB05" w14:textId="77777777" w:rsidR="00E3067C" w:rsidRPr="00A60228" w:rsidRDefault="00E3067C" w:rsidP="00A33F7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noProof/>
                <w:szCs w:val="24"/>
                <w:lang w:eastAsia="en-AU"/>
              </w:rPr>
              <mc:AlternateContent>
                <mc:Choice Requires="wps">
                  <w:drawing>
                    <wp:anchor distT="0" distB="0" distL="114300" distR="114300" simplePos="0" relativeHeight="251612160" behindDoc="0" locked="0" layoutInCell="1" allowOverlap="1" wp14:anchorId="5B49F56E" wp14:editId="3F59541A">
                      <wp:simplePos x="0" y="0"/>
                      <wp:positionH relativeFrom="column">
                        <wp:posOffset>234950</wp:posOffset>
                      </wp:positionH>
                      <wp:positionV relativeFrom="paragraph">
                        <wp:posOffset>21590</wp:posOffset>
                      </wp:positionV>
                      <wp:extent cx="179705" cy="179705"/>
                      <wp:effectExtent l="0" t="0" r="10795" b="10795"/>
                      <wp:wrapNone/>
                      <wp:docPr id="22" name="Flowchart: Connector 22"/>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DF58" id="Flowchart: Connector 22" o:spid="_x0000_s1026" type="#_x0000_t120" style="position:absolute;margin-left:18.5pt;margin-top:1.7pt;width:14.15pt;height:14.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" fillcolor="#ffc000" strokecolor="black [3213]" strokeweight=".5pt"/>
                  </w:pict>
                </mc:Fallback>
              </mc:AlternateContent>
            </w:r>
          </w:p>
        </w:tc>
      </w:tr>
    </w:tbl>
    <w:p w14:paraId="7A6AC1BB" w14:textId="77777777" w:rsidR="00E12743" w:rsidRDefault="00E12743" w:rsidP="00616E47">
      <w:pPr>
        <w:keepNext/>
        <w:rPr>
          <w:b/>
          <w:i/>
          <w:color w:val="4BACC6" w:themeColor="accent5"/>
          <w:szCs w:val="22"/>
        </w:rPr>
      </w:pPr>
    </w:p>
    <w:p w14:paraId="6C970DB4" w14:textId="77777777" w:rsidR="004520C2" w:rsidRPr="00140CAE" w:rsidRDefault="002A3136" w:rsidP="00616E47">
      <w:pPr>
        <w:keepNext/>
        <w:rPr>
          <w:b/>
          <w:iCs/>
          <w:color w:val="0070C0"/>
          <w:szCs w:val="22"/>
        </w:rPr>
      </w:pPr>
      <w:r w:rsidRPr="00140CAE">
        <w:rPr>
          <w:b/>
          <w:iCs/>
          <w:color w:val="0070C0"/>
          <w:szCs w:val="22"/>
        </w:rPr>
        <w:t xml:space="preserve">Table </w:t>
      </w:r>
      <w:r w:rsidR="0066531F" w:rsidRPr="00140CAE">
        <w:rPr>
          <w:b/>
          <w:iCs/>
          <w:color w:val="0070C0"/>
          <w:szCs w:val="22"/>
        </w:rPr>
        <w:t>3.1.2</w:t>
      </w:r>
      <w:r w:rsidR="0066531F" w:rsidRPr="00140CAE">
        <w:rPr>
          <w:b/>
          <w:iCs/>
          <w:color w:val="0070C0"/>
          <w:szCs w:val="22"/>
        </w:rPr>
        <w:tab/>
      </w:r>
      <w:r w:rsidR="004520C2" w:rsidRPr="00140CAE">
        <w:rPr>
          <w:b/>
          <w:iCs/>
          <w:color w:val="0070C0"/>
          <w:szCs w:val="22"/>
        </w:rPr>
        <w:t>Business</w:t>
      </w:r>
    </w:p>
    <w:tbl>
      <w:tblPr>
        <w:tblW w:w="9120" w:type="dxa"/>
        <w:tblInd w:w="93" w:type="dxa"/>
        <w:tblLook w:val="04A0" w:firstRow="1" w:lastRow="0" w:firstColumn="1" w:lastColumn="0" w:noHBand="0" w:noVBand="1"/>
      </w:tblPr>
      <w:tblGrid>
        <w:gridCol w:w="3200"/>
        <w:gridCol w:w="960"/>
        <w:gridCol w:w="960"/>
        <w:gridCol w:w="960"/>
        <w:gridCol w:w="960"/>
        <w:gridCol w:w="960"/>
        <w:gridCol w:w="1120"/>
      </w:tblGrid>
      <w:tr w:rsidR="005355B7" w:rsidRPr="005355B7" w14:paraId="6174F321" w14:textId="77777777" w:rsidTr="00E12743">
        <w:trPr>
          <w:trHeight w:val="330"/>
        </w:trPr>
        <w:tc>
          <w:tcPr>
            <w:tcW w:w="3200" w:type="dxa"/>
            <w:vMerge w:val="restart"/>
            <w:tcBorders>
              <w:top w:val="single" w:sz="8" w:space="0" w:color="auto"/>
              <w:left w:val="single" w:sz="8" w:space="0" w:color="auto"/>
              <w:bottom w:val="single" w:sz="8" w:space="0" w:color="FFFFFF"/>
              <w:right w:val="single" w:sz="8" w:space="0" w:color="FFFFFF"/>
            </w:tcBorders>
            <w:shd w:val="clear" w:color="000000" w:fill="4BACC6"/>
            <w:vAlign w:val="center"/>
            <w:hideMark/>
          </w:tcPr>
          <w:p w14:paraId="79F5AC72" w14:textId="77777777"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Performance Measure</w:t>
            </w:r>
          </w:p>
        </w:tc>
        <w:tc>
          <w:tcPr>
            <w:tcW w:w="5920" w:type="dxa"/>
            <w:gridSpan w:val="6"/>
            <w:tcBorders>
              <w:top w:val="single" w:sz="8" w:space="0" w:color="auto"/>
              <w:left w:val="nil"/>
              <w:bottom w:val="single" w:sz="8" w:space="0" w:color="FFFFFF"/>
              <w:right w:val="single" w:sz="8" w:space="0" w:color="auto"/>
            </w:tcBorders>
            <w:shd w:val="clear" w:color="000000" w:fill="4BACC6"/>
            <w:vAlign w:val="center"/>
            <w:hideMark/>
          </w:tcPr>
          <w:p w14:paraId="60E58D92" w14:textId="77777777"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Satisfaction Level (delighted &amp; satisfied)</w:t>
            </w:r>
          </w:p>
        </w:tc>
      </w:tr>
      <w:tr w:rsidR="005355B7" w:rsidRPr="005355B7" w14:paraId="7CAF3F0F" w14:textId="77777777" w:rsidTr="00BA2B79">
        <w:trPr>
          <w:trHeight w:val="795"/>
        </w:trPr>
        <w:tc>
          <w:tcPr>
            <w:tcW w:w="3200" w:type="dxa"/>
            <w:vMerge/>
            <w:tcBorders>
              <w:top w:val="single" w:sz="8" w:space="0" w:color="FFFFFF"/>
              <w:left w:val="single" w:sz="8" w:space="0" w:color="auto"/>
              <w:bottom w:val="thinThickSmallGap" w:sz="24" w:space="0" w:color="auto"/>
              <w:right w:val="single" w:sz="8" w:space="0" w:color="FFFFFF"/>
            </w:tcBorders>
            <w:vAlign w:val="center"/>
            <w:hideMark/>
          </w:tcPr>
          <w:p w14:paraId="5EA011B4" w14:textId="77777777" w:rsidR="005355B7" w:rsidRPr="005355B7" w:rsidRDefault="005355B7" w:rsidP="005355B7">
            <w:pPr>
              <w:spacing w:after="0"/>
              <w:jc w:val="left"/>
              <w:rPr>
                <w:rFonts w:ascii="Arial Narrow" w:hAnsi="Arial Narrow"/>
                <w:color w:val="FFFFFF"/>
                <w:szCs w:val="24"/>
                <w:lang w:eastAsia="en-AU"/>
              </w:rPr>
            </w:pPr>
          </w:p>
        </w:tc>
        <w:tc>
          <w:tcPr>
            <w:tcW w:w="960" w:type="dxa"/>
            <w:tcBorders>
              <w:top w:val="nil"/>
              <w:left w:val="nil"/>
              <w:bottom w:val="thinThickSmallGap" w:sz="24" w:space="0" w:color="auto"/>
              <w:right w:val="single" w:sz="8" w:space="0" w:color="FFFFFF"/>
            </w:tcBorders>
            <w:shd w:val="clear" w:color="000000" w:fill="4BACC6"/>
            <w:vAlign w:val="center"/>
            <w:hideMark/>
          </w:tcPr>
          <w:p w14:paraId="3DD402A1" w14:textId="474DAD8A"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2014</w:t>
            </w:r>
            <w:r w:rsidR="00FC6604">
              <w:rPr>
                <w:rFonts w:ascii="Arial Narrow" w:hAnsi="Arial Narrow"/>
                <w:color w:val="FFFFFF"/>
                <w:szCs w:val="24"/>
                <w:lang w:eastAsia="en-AU"/>
              </w:rPr>
              <w:t>-15</w:t>
            </w:r>
          </w:p>
        </w:tc>
        <w:tc>
          <w:tcPr>
            <w:tcW w:w="960" w:type="dxa"/>
            <w:tcBorders>
              <w:top w:val="nil"/>
              <w:left w:val="nil"/>
              <w:bottom w:val="thinThickSmallGap" w:sz="24" w:space="0" w:color="auto"/>
              <w:right w:val="single" w:sz="8" w:space="0" w:color="FFFFFF"/>
            </w:tcBorders>
            <w:shd w:val="clear" w:color="000000" w:fill="4BACC6"/>
            <w:vAlign w:val="center"/>
            <w:hideMark/>
          </w:tcPr>
          <w:p w14:paraId="0975A4F8" w14:textId="7098FE61"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2015</w:t>
            </w:r>
            <w:r w:rsidR="00FC6604">
              <w:rPr>
                <w:rFonts w:ascii="Arial Narrow" w:hAnsi="Arial Narrow"/>
                <w:color w:val="FFFFFF"/>
                <w:szCs w:val="24"/>
                <w:lang w:eastAsia="en-AU"/>
              </w:rPr>
              <w:t>-16</w:t>
            </w:r>
          </w:p>
        </w:tc>
        <w:tc>
          <w:tcPr>
            <w:tcW w:w="960" w:type="dxa"/>
            <w:tcBorders>
              <w:top w:val="nil"/>
              <w:left w:val="nil"/>
              <w:bottom w:val="thinThickSmallGap" w:sz="24" w:space="0" w:color="auto"/>
              <w:right w:val="single" w:sz="8" w:space="0" w:color="FFFFFF"/>
            </w:tcBorders>
            <w:shd w:val="clear" w:color="000000" w:fill="4BACC6"/>
            <w:vAlign w:val="center"/>
            <w:hideMark/>
          </w:tcPr>
          <w:p w14:paraId="014686B4" w14:textId="4D365189"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2016</w:t>
            </w:r>
            <w:r w:rsidR="00FC6604">
              <w:rPr>
                <w:rFonts w:ascii="Arial Narrow" w:hAnsi="Arial Narrow"/>
                <w:color w:val="FFFFFF"/>
                <w:szCs w:val="24"/>
                <w:lang w:eastAsia="en-AU"/>
              </w:rPr>
              <w:t>-17</w:t>
            </w:r>
          </w:p>
        </w:tc>
        <w:tc>
          <w:tcPr>
            <w:tcW w:w="960" w:type="dxa"/>
            <w:tcBorders>
              <w:top w:val="nil"/>
              <w:left w:val="nil"/>
              <w:bottom w:val="thinThickSmallGap" w:sz="24" w:space="0" w:color="auto"/>
              <w:right w:val="single" w:sz="8" w:space="0" w:color="FFFFFF"/>
            </w:tcBorders>
            <w:shd w:val="clear" w:color="000000" w:fill="4BACC6"/>
            <w:vAlign w:val="center"/>
            <w:hideMark/>
          </w:tcPr>
          <w:p w14:paraId="09AA5B3F" w14:textId="6B4B4C15"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2017</w:t>
            </w:r>
            <w:r w:rsidR="00FC6604">
              <w:rPr>
                <w:rFonts w:ascii="Arial Narrow" w:hAnsi="Arial Narrow"/>
                <w:color w:val="FFFFFF"/>
                <w:szCs w:val="24"/>
                <w:lang w:eastAsia="en-AU"/>
              </w:rPr>
              <w:t>-18</w:t>
            </w:r>
          </w:p>
        </w:tc>
        <w:tc>
          <w:tcPr>
            <w:tcW w:w="960" w:type="dxa"/>
            <w:tcBorders>
              <w:top w:val="nil"/>
              <w:left w:val="nil"/>
              <w:bottom w:val="thinThickSmallGap" w:sz="24" w:space="0" w:color="auto"/>
              <w:right w:val="single" w:sz="8" w:space="0" w:color="FFFFFF"/>
            </w:tcBorders>
            <w:shd w:val="clear" w:color="000000" w:fill="4BACC6"/>
            <w:vAlign w:val="center"/>
            <w:hideMark/>
          </w:tcPr>
          <w:p w14:paraId="677B27AC" w14:textId="633AD662"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2019</w:t>
            </w:r>
            <w:r w:rsidR="00FC6604">
              <w:rPr>
                <w:rFonts w:ascii="Arial Narrow" w:hAnsi="Arial Narrow"/>
                <w:color w:val="FFFFFF"/>
                <w:szCs w:val="24"/>
                <w:lang w:eastAsia="en-AU"/>
              </w:rPr>
              <w:t>-20</w:t>
            </w:r>
          </w:p>
        </w:tc>
        <w:tc>
          <w:tcPr>
            <w:tcW w:w="1120" w:type="dxa"/>
            <w:tcBorders>
              <w:top w:val="nil"/>
              <w:left w:val="nil"/>
              <w:bottom w:val="thinThickSmallGap" w:sz="24" w:space="0" w:color="auto"/>
              <w:right w:val="single" w:sz="8" w:space="0" w:color="auto"/>
            </w:tcBorders>
            <w:shd w:val="clear" w:color="000000" w:fill="4BACC6"/>
            <w:vAlign w:val="center"/>
            <w:hideMark/>
          </w:tcPr>
          <w:p w14:paraId="7AADE821" w14:textId="77777777" w:rsidR="005355B7" w:rsidRPr="005355B7" w:rsidRDefault="005355B7" w:rsidP="005355B7">
            <w:pPr>
              <w:spacing w:after="0"/>
              <w:jc w:val="center"/>
              <w:rPr>
                <w:rFonts w:ascii="Arial Narrow" w:hAnsi="Arial Narrow"/>
                <w:color w:val="FFFFFF"/>
                <w:szCs w:val="24"/>
                <w:lang w:eastAsia="en-AU"/>
              </w:rPr>
            </w:pPr>
            <w:r w:rsidRPr="005355B7">
              <w:rPr>
                <w:rFonts w:ascii="Arial Narrow" w:hAnsi="Arial Narrow"/>
                <w:color w:val="FFFFFF"/>
                <w:szCs w:val="24"/>
                <w:lang w:eastAsia="en-AU"/>
              </w:rPr>
              <w:t>Status from last year</w:t>
            </w:r>
          </w:p>
        </w:tc>
      </w:tr>
      <w:tr w:rsidR="005355B7" w:rsidRPr="005355B7" w14:paraId="6FDA50C5" w14:textId="77777777" w:rsidTr="00BA2B79">
        <w:trPr>
          <w:trHeight w:val="840"/>
        </w:trPr>
        <w:tc>
          <w:tcPr>
            <w:tcW w:w="3200" w:type="dxa"/>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6A131310" w14:textId="77777777" w:rsidR="005355B7" w:rsidRPr="00BA2B79" w:rsidRDefault="005355B7" w:rsidP="005355B7">
            <w:pPr>
              <w:spacing w:after="0"/>
              <w:jc w:val="left"/>
              <w:rPr>
                <w:rFonts w:ascii="Arial Narrow" w:hAnsi="Arial Narrow"/>
                <w:color w:val="FFFFFF" w:themeColor="background1"/>
                <w:szCs w:val="24"/>
                <w:lang w:eastAsia="en-AU"/>
              </w:rPr>
            </w:pPr>
            <w:r w:rsidRPr="00BA2B79">
              <w:rPr>
                <w:rFonts w:ascii="Arial Narrow" w:hAnsi="Arial Narrow"/>
                <w:color w:val="FFFFFF" w:themeColor="background1"/>
                <w:szCs w:val="24"/>
                <w:lang w:eastAsia="en-AU"/>
              </w:rPr>
              <w:t>Overall satisfaction with City of Cockburn (as a business location)</w:t>
            </w:r>
          </w:p>
        </w:tc>
        <w:tc>
          <w:tcPr>
            <w:tcW w:w="960" w:type="dxa"/>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78CF4D50"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85</w:t>
            </w:r>
          </w:p>
        </w:tc>
        <w:tc>
          <w:tcPr>
            <w:tcW w:w="960" w:type="dxa"/>
            <w:tcBorders>
              <w:top w:val="thinThickSmallGap" w:sz="24" w:space="0" w:color="auto"/>
              <w:left w:val="nil"/>
              <w:bottom w:val="single" w:sz="8" w:space="0" w:color="FFFFFF"/>
              <w:right w:val="single" w:sz="8" w:space="0" w:color="FFFFFF"/>
            </w:tcBorders>
            <w:shd w:val="clear" w:color="000000" w:fill="B6DDE8"/>
            <w:vAlign w:val="center"/>
            <w:hideMark/>
          </w:tcPr>
          <w:p w14:paraId="43D5E39C"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89</w:t>
            </w:r>
          </w:p>
        </w:tc>
        <w:tc>
          <w:tcPr>
            <w:tcW w:w="960" w:type="dxa"/>
            <w:tcBorders>
              <w:top w:val="thinThickSmallGap" w:sz="24" w:space="0" w:color="auto"/>
              <w:left w:val="nil"/>
              <w:bottom w:val="single" w:sz="8" w:space="0" w:color="FFFFFF"/>
              <w:right w:val="single" w:sz="8" w:space="0" w:color="FFFFFF"/>
            </w:tcBorders>
            <w:shd w:val="clear" w:color="000000" w:fill="B6DDE8"/>
            <w:vAlign w:val="center"/>
            <w:hideMark/>
          </w:tcPr>
          <w:p w14:paraId="7F89A0B9"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95</w:t>
            </w:r>
          </w:p>
        </w:tc>
        <w:tc>
          <w:tcPr>
            <w:tcW w:w="960" w:type="dxa"/>
            <w:tcBorders>
              <w:top w:val="thinThickSmallGap" w:sz="24" w:space="0" w:color="auto"/>
              <w:left w:val="nil"/>
              <w:bottom w:val="single" w:sz="8" w:space="0" w:color="FFFFFF"/>
              <w:right w:val="single" w:sz="8" w:space="0" w:color="FFFFFF"/>
            </w:tcBorders>
            <w:shd w:val="clear" w:color="000000" w:fill="B6DDE8"/>
            <w:vAlign w:val="center"/>
            <w:hideMark/>
          </w:tcPr>
          <w:p w14:paraId="5DE7DD3B"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93</w:t>
            </w:r>
          </w:p>
        </w:tc>
        <w:tc>
          <w:tcPr>
            <w:tcW w:w="960" w:type="dxa"/>
            <w:tcBorders>
              <w:top w:val="thinThickSmallGap" w:sz="24" w:space="0" w:color="auto"/>
              <w:left w:val="nil"/>
              <w:bottom w:val="single" w:sz="8" w:space="0" w:color="FFFFFF"/>
              <w:right w:val="single" w:sz="8" w:space="0" w:color="FFFFFF"/>
            </w:tcBorders>
            <w:shd w:val="clear" w:color="000000" w:fill="B6DDE8"/>
            <w:vAlign w:val="center"/>
            <w:hideMark/>
          </w:tcPr>
          <w:p w14:paraId="231EFC5F"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91</w:t>
            </w:r>
          </w:p>
        </w:tc>
        <w:tc>
          <w:tcPr>
            <w:tcW w:w="1120" w:type="dxa"/>
            <w:tcBorders>
              <w:top w:val="thinThickSmallGap" w:sz="24" w:space="0" w:color="auto"/>
              <w:left w:val="nil"/>
              <w:bottom w:val="single" w:sz="8" w:space="0" w:color="FFFFFF"/>
              <w:right w:val="single" w:sz="8" w:space="0" w:color="auto"/>
            </w:tcBorders>
            <w:shd w:val="clear" w:color="000000" w:fill="B6DDE8"/>
            <w:vAlign w:val="center"/>
            <w:hideMark/>
          </w:tcPr>
          <w:p w14:paraId="76C49D7A" w14:textId="77777777" w:rsidR="005355B7" w:rsidRPr="005355B7" w:rsidRDefault="005355B7" w:rsidP="005355B7">
            <w:pPr>
              <w:spacing w:after="0"/>
              <w:jc w:val="left"/>
              <w:rPr>
                <w:rFonts w:ascii="Arial Narrow" w:hAnsi="Arial Narrow"/>
                <w:color w:val="000000"/>
                <w:szCs w:val="24"/>
                <w:lang w:eastAsia="en-AU"/>
              </w:rPr>
            </w:pPr>
            <w:r>
              <w:rPr>
                <w:rFonts w:ascii="Arial Narrow" w:hAnsi="Arial Narrow" w:cs="Arial"/>
                <w:noProof/>
                <w:szCs w:val="24"/>
                <w:lang w:eastAsia="en-AU"/>
              </w:rPr>
              <mc:AlternateContent>
                <mc:Choice Requires="wps">
                  <w:drawing>
                    <wp:anchor distT="0" distB="0" distL="114300" distR="114300" simplePos="0" relativeHeight="251643904" behindDoc="0" locked="0" layoutInCell="1" allowOverlap="1" wp14:anchorId="60FC4CCC" wp14:editId="4A1B28C4">
                      <wp:simplePos x="0" y="0"/>
                      <wp:positionH relativeFrom="column">
                        <wp:posOffset>269875</wp:posOffset>
                      </wp:positionH>
                      <wp:positionV relativeFrom="paragraph">
                        <wp:posOffset>53340</wp:posOffset>
                      </wp:positionV>
                      <wp:extent cx="179705" cy="179705"/>
                      <wp:effectExtent l="0" t="0" r="10795" b="10795"/>
                      <wp:wrapNone/>
                      <wp:docPr id="476" name="Flowchart: Connector 47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DEB6" id="Flowchart: Connector 476" o:spid="_x0000_s1026" type="#_x0000_t120" style="position:absolute;margin-left:21.25pt;margin-top:4.2pt;width:14.15pt;height:1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" fillcolor="#ffc000" strokecolor="black [3213]" strokeweight=".5pt"/>
                  </w:pict>
                </mc:Fallback>
              </mc:AlternateContent>
            </w:r>
            <w:r w:rsidRPr="005355B7">
              <w:rPr>
                <w:rFonts w:ascii="Arial Narrow" w:hAnsi="Arial Narrow"/>
                <w:color w:val="000000"/>
                <w:szCs w:val="24"/>
                <w:lang w:eastAsia="en-AU"/>
              </w:rPr>
              <w:t> </w:t>
            </w:r>
          </w:p>
        </w:tc>
      </w:tr>
      <w:tr w:rsidR="005355B7" w:rsidRPr="005355B7" w14:paraId="3BC76094" w14:textId="77777777" w:rsidTr="00BA2B79">
        <w:trPr>
          <w:trHeight w:val="600"/>
        </w:trPr>
        <w:tc>
          <w:tcPr>
            <w:tcW w:w="3200" w:type="dxa"/>
            <w:tcBorders>
              <w:top w:val="single" w:sz="8" w:space="0" w:color="FFFFFF"/>
              <w:left w:val="single" w:sz="8" w:space="0" w:color="auto"/>
              <w:bottom w:val="single" w:sz="8" w:space="0" w:color="auto"/>
              <w:right w:val="thinThickSmallGap" w:sz="24" w:space="0" w:color="auto"/>
            </w:tcBorders>
            <w:shd w:val="clear" w:color="000000" w:fill="4BACC6"/>
            <w:vAlign w:val="center"/>
            <w:hideMark/>
          </w:tcPr>
          <w:p w14:paraId="255994B9" w14:textId="77777777" w:rsidR="005355B7" w:rsidRPr="00BA2B79" w:rsidRDefault="005355B7" w:rsidP="005355B7">
            <w:pPr>
              <w:spacing w:after="0"/>
              <w:jc w:val="left"/>
              <w:rPr>
                <w:rFonts w:ascii="Arial Narrow" w:hAnsi="Arial Narrow"/>
                <w:color w:val="FFFFFF" w:themeColor="background1"/>
                <w:szCs w:val="24"/>
                <w:lang w:eastAsia="en-AU"/>
              </w:rPr>
            </w:pPr>
            <w:r w:rsidRPr="00BA2B79">
              <w:rPr>
                <w:rFonts w:ascii="Arial Narrow" w:hAnsi="Arial Narrow"/>
                <w:color w:val="FFFFFF" w:themeColor="background1"/>
                <w:szCs w:val="24"/>
                <w:lang w:eastAsia="en-AU"/>
              </w:rPr>
              <w:t>Access to public transport</w:t>
            </w:r>
          </w:p>
        </w:tc>
        <w:tc>
          <w:tcPr>
            <w:tcW w:w="960" w:type="dxa"/>
            <w:tcBorders>
              <w:top w:val="nil"/>
              <w:left w:val="thinThickSmallGap" w:sz="24" w:space="0" w:color="auto"/>
              <w:bottom w:val="single" w:sz="8" w:space="0" w:color="auto"/>
              <w:right w:val="single" w:sz="8" w:space="0" w:color="FFFFFF"/>
            </w:tcBorders>
            <w:shd w:val="clear" w:color="000000" w:fill="DAEEF3"/>
            <w:vAlign w:val="center"/>
            <w:hideMark/>
          </w:tcPr>
          <w:p w14:paraId="78AB3A1F"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67</w:t>
            </w:r>
          </w:p>
        </w:tc>
        <w:tc>
          <w:tcPr>
            <w:tcW w:w="960" w:type="dxa"/>
            <w:tcBorders>
              <w:top w:val="nil"/>
              <w:left w:val="nil"/>
              <w:bottom w:val="single" w:sz="8" w:space="0" w:color="auto"/>
              <w:right w:val="single" w:sz="8" w:space="0" w:color="FFFFFF"/>
            </w:tcBorders>
            <w:shd w:val="clear" w:color="000000" w:fill="DAEEF3"/>
            <w:vAlign w:val="center"/>
            <w:hideMark/>
          </w:tcPr>
          <w:p w14:paraId="5BE1AAF3"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60</w:t>
            </w:r>
          </w:p>
        </w:tc>
        <w:tc>
          <w:tcPr>
            <w:tcW w:w="960" w:type="dxa"/>
            <w:tcBorders>
              <w:top w:val="nil"/>
              <w:left w:val="nil"/>
              <w:bottom w:val="single" w:sz="8" w:space="0" w:color="auto"/>
              <w:right w:val="single" w:sz="8" w:space="0" w:color="FFFFFF"/>
            </w:tcBorders>
            <w:shd w:val="clear" w:color="000000" w:fill="DAEEF3"/>
            <w:vAlign w:val="center"/>
            <w:hideMark/>
          </w:tcPr>
          <w:p w14:paraId="7B68177F"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84</w:t>
            </w:r>
          </w:p>
        </w:tc>
        <w:tc>
          <w:tcPr>
            <w:tcW w:w="960" w:type="dxa"/>
            <w:tcBorders>
              <w:top w:val="nil"/>
              <w:left w:val="nil"/>
              <w:bottom w:val="single" w:sz="8" w:space="0" w:color="auto"/>
              <w:right w:val="single" w:sz="8" w:space="0" w:color="FFFFFF"/>
            </w:tcBorders>
            <w:shd w:val="clear" w:color="000000" w:fill="DAEEF3"/>
            <w:vAlign w:val="center"/>
            <w:hideMark/>
          </w:tcPr>
          <w:p w14:paraId="635A6091"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77</w:t>
            </w:r>
          </w:p>
        </w:tc>
        <w:tc>
          <w:tcPr>
            <w:tcW w:w="960" w:type="dxa"/>
            <w:tcBorders>
              <w:top w:val="nil"/>
              <w:left w:val="nil"/>
              <w:bottom w:val="single" w:sz="8" w:space="0" w:color="auto"/>
              <w:right w:val="single" w:sz="8" w:space="0" w:color="FFFFFF"/>
            </w:tcBorders>
            <w:shd w:val="clear" w:color="000000" w:fill="DAEEF3"/>
            <w:vAlign w:val="center"/>
            <w:hideMark/>
          </w:tcPr>
          <w:p w14:paraId="1D377737" w14:textId="77777777" w:rsidR="005355B7" w:rsidRPr="005355B7" w:rsidRDefault="005355B7" w:rsidP="005355B7">
            <w:pPr>
              <w:spacing w:after="0"/>
              <w:jc w:val="center"/>
              <w:rPr>
                <w:rFonts w:ascii="Arial Narrow" w:hAnsi="Arial Narrow"/>
                <w:color w:val="000000"/>
                <w:szCs w:val="24"/>
                <w:lang w:eastAsia="en-AU"/>
              </w:rPr>
            </w:pPr>
            <w:r w:rsidRPr="005355B7">
              <w:rPr>
                <w:rFonts w:ascii="Arial Narrow" w:hAnsi="Arial Narrow"/>
                <w:color w:val="000000"/>
                <w:szCs w:val="24"/>
                <w:lang w:eastAsia="en-AU"/>
              </w:rPr>
              <w:t>77</w:t>
            </w:r>
          </w:p>
        </w:tc>
        <w:tc>
          <w:tcPr>
            <w:tcW w:w="1120" w:type="dxa"/>
            <w:tcBorders>
              <w:top w:val="nil"/>
              <w:left w:val="nil"/>
              <w:bottom w:val="single" w:sz="8" w:space="0" w:color="auto"/>
              <w:right w:val="single" w:sz="8" w:space="0" w:color="auto"/>
            </w:tcBorders>
            <w:shd w:val="clear" w:color="000000" w:fill="DAEEF3"/>
            <w:vAlign w:val="center"/>
            <w:hideMark/>
          </w:tcPr>
          <w:p w14:paraId="73E538F7" w14:textId="77777777" w:rsidR="005355B7" w:rsidRPr="005355B7" w:rsidRDefault="005355B7" w:rsidP="005355B7">
            <w:pPr>
              <w:spacing w:after="0"/>
              <w:jc w:val="center"/>
              <w:rPr>
                <w:rFonts w:ascii="Arial Narrow" w:hAnsi="Arial Narrow"/>
                <w:color w:val="000000"/>
                <w:szCs w:val="24"/>
                <w:lang w:eastAsia="en-AU"/>
              </w:rPr>
            </w:pPr>
            <w:r>
              <w:rPr>
                <w:rFonts w:ascii="Arial Narrow" w:hAnsi="Arial Narrow" w:cs="Arial"/>
                <w:noProof/>
                <w:szCs w:val="24"/>
                <w:lang w:eastAsia="en-AU"/>
              </w:rPr>
              <mc:AlternateContent>
                <mc:Choice Requires="wps">
                  <w:drawing>
                    <wp:anchor distT="0" distB="0" distL="114300" distR="114300" simplePos="0" relativeHeight="251648000" behindDoc="0" locked="0" layoutInCell="1" allowOverlap="1" wp14:anchorId="0EF7CE4F" wp14:editId="53B25DC7">
                      <wp:simplePos x="0" y="0"/>
                      <wp:positionH relativeFrom="column">
                        <wp:posOffset>265458</wp:posOffset>
                      </wp:positionH>
                      <wp:positionV relativeFrom="paragraph">
                        <wp:posOffset>104946</wp:posOffset>
                      </wp:positionV>
                      <wp:extent cx="179705" cy="179705"/>
                      <wp:effectExtent l="0" t="0" r="10795" b="10795"/>
                      <wp:wrapNone/>
                      <wp:docPr id="478" name="Flowchart: Connector 47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FE33A" id="Flowchart: Connector 478" o:spid="_x0000_s1026" type="#_x0000_t120" style="position:absolute;margin-left:20.9pt;margin-top:8.25pt;width:14.15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" fillcolor="#9bbb59" strokecolor="windowText" strokeweight=".5pt"/>
                  </w:pict>
                </mc:Fallback>
              </mc:AlternateContent>
            </w:r>
            <w:r w:rsidRPr="005355B7">
              <w:rPr>
                <w:rFonts w:ascii="Arial Narrow" w:hAnsi="Arial Narrow"/>
                <w:color w:val="000000"/>
                <w:szCs w:val="24"/>
                <w:lang w:eastAsia="en-AU"/>
              </w:rPr>
              <w:t> </w:t>
            </w:r>
          </w:p>
        </w:tc>
      </w:tr>
    </w:tbl>
    <w:p w14:paraId="6AD0E98D" w14:textId="77777777" w:rsidR="00F04B9B" w:rsidRDefault="00F04B9B" w:rsidP="00F04B9B"/>
    <w:p w14:paraId="6B9CB39E" w14:textId="77777777" w:rsidR="00AA1FC6" w:rsidRDefault="00AA1FC6" w:rsidP="00F04B9B">
      <w:r w:rsidRPr="007677CF">
        <w:lastRenderedPageBreak/>
        <w:t xml:space="preserve">Although overall satisfaction levels with the City of Cockburn as a business location have </w:t>
      </w:r>
      <w:r w:rsidR="000678E1">
        <w:t xml:space="preserve">slightly </w:t>
      </w:r>
      <w:r w:rsidRPr="007677CF">
        <w:t>fallen, the City has achieved the Industry High with</w:t>
      </w:r>
      <w:r w:rsidR="00922E1B" w:rsidRPr="0026613B">
        <w:t xml:space="preserve"> </w:t>
      </w:r>
      <w:r w:rsidR="00527212">
        <w:t>an</w:t>
      </w:r>
      <w:r w:rsidR="00CE6299" w:rsidRPr="007677CF">
        <w:t xml:space="preserve"> index score</w:t>
      </w:r>
      <w:r w:rsidR="00527212">
        <w:t xml:space="preserve"> of 71</w:t>
      </w:r>
      <w:r w:rsidRPr="007677CF">
        <w:t>.</w:t>
      </w:r>
    </w:p>
    <w:p w14:paraId="75A395BA" w14:textId="77777777" w:rsidR="00545CFE" w:rsidRDefault="00713B3A" w:rsidP="00F04B9B">
      <w:r w:rsidRPr="007677CF">
        <w:t>Community s</w:t>
      </w:r>
      <w:r w:rsidR="00545CFE" w:rsidRPr="007677CF">
        <w:t xml:space="preserve">atisfaction is </w:t>
      </w:r>
      <w:r w:rsidR="007701B4">
        <w:t>8</w:t>
      </w:r>
      <w:r w:rsidR="004E6B86">
        <w:t>2</w:t>
      </w:r>
      <w:r w:rsidR="00E252B5">
        <w:t>%</w:t>
      </w:r>
      <w:r w:rsidR="007701B4" w:rsidRPr="007677CF">
        <w:t xml:space="preserve"> </w:t>
      </w:r>
      <w:r w:rsidR="00545CFE" w:rsidRPr="007677CF">
        <w:t>for footpath and cycleways</w:t>
      </w:r>
      <w:r w:rsidR="00527212">
        <w:t>, b</w:t>
      </w:r>
      <w:r w:rsidR="00E252B5" w:rsidRPr="007677CF">
        <w:t>ut</w:t>
      </w:r>
      <w:r w:rsidR="00545CFE" w:rsidRPr="007677CF">
        <w:t xml:space="preserve"> this is still a priority area for further improvement with </w:t>
      </w:r>
      <w:r w:rsidR="00CE6299" w:rsidRPr="007677CF">
        <w:t>1</w:t>
      </w:r>
      <w:r w:rsidR="00A935E4">
        <w:t>1</w:t>
      </w:r>
      <w:r w:rsidR="00CE6299" w:rsidRPr="007677CF">
        <w:t>%</w:t>
      </w:r>
      <w:r w:rsidR="00653113">
        <w:t xml:space="preserve"> </w:t>
      </w:r>
      <w:r w:rsidR="00545CFE" w:rsidRPr="007677CF">
        <w:t xml:space="preserve">of respondents rating </w:t>
      </w:r>
      <w:r w:rsidR="002178D6" w:rsidRPr="007677CF">
        <w:t xml:space="preserve">it </w:t>
      </w:r>
      <w:r w:rsidR="00545CFE" w:rsidRPr="007677CF">
        <w:t>as a</w:t>
      </w:r>
      <w:r w:rsidR="002178D6" w:rsidRPr="007677CF">
        <w:t xml:space="preserve"> main</w:t>
      </w:r>
      <w:r w:rsidR="00545CFE" w:rsidRPr="007677CF">
        <w:t xml:space="preserve"> priority.</w:t>
      </w:r>
    </w:p>
    <w:p w14:paraId="1FB3FEFA" w14:textId="77777777" w:rsidR="00093B01" w:rsidRPr="00EA6639" w:rsidRDefault="00476D32" w:rsidP="00F04B9B">
      <w:r w:rsidRPr="00EA6639">
        <w:t>The City of Cockburn</w:t>
      </w:r>
      <w:r w:rsidR="00093B01" w:rsidRPr="00EA6639">
        <w:t xml:space="preserve"> uses this information</w:t>
      </w:r>
      <w:r w:rsidR="00C21122">
        <w:t xml:space="preserve"> to continue</w:t>
      </w:r>
      <w:r w:rsidR="00093B01" w:rsidRPr="00EA6639">
        <w:t xml:space="preserve"> developing the Strategic </w:t>
      </w:r>
      <w:r w:rsidR="00832D69">
        <w:t>Community</w:t>
      </w:r>
      <w:r w:rsidR="00093B01" w:rsidRPr="00EA6639">
        <w:t xml:space="preserve"> Plan and </w:t>
      </w:r>
      <w:r w:rsidR="00C21122">
        <w:t xml:space="preserve">determine the </w:t>
      </w:r>
      <w:r w:rsidR="00093B01" w:rsidRPr="00EA6639">
        <w:t>allocation of resources</w:t>
      </w:r>
      <w:r w:rsidR="00C21122">
        <w:t xml:space="preserve"> to meet the community’s needs</w:t>
      </w:r>
      <w:r w:rsidR="00093B01" w:rsidRPr="00EA6639">
        <w:t>.</w:t>
      </w:r>
    </w:p>
    <w:p w14:paraId="574980C7" w14:textId="77777777" w:rsidR="00912973" w:rsidRPr="00140CAE" w:rsidRDefault="00912973" w:rsidP="00144B3B">
      <w:pPr>
        <w:pStyle w:val="BodyText"/>
        <w:numPr>
          <w:ilvl w:val="0"/>
          <w:numId w:val="21"/>
        </w:numPr>
        <w:ind w:left="357" w:hanging="357"/>
        <w:rPr>
          <w:b/>
          <w:iCs/>
          <w:color w:val="0070C0"/>
        </w:rPr>
      </w:pPr>
      <w:bookmarkStart w:id="15" w:name="_Toc301775997"/>
      <w:r w:rsidRPr="00140CAE">
        <w:rPr>
          <w:b/>
          <w:iCs/>
          <w:color w:val="0070C0"/>
        </w:rPr>
        <w:t>Footpaths have a suitable smooth walking surface and are aesthetically pleasing</w:t>
      </w:r>
    </w:p>
    <w:p w14:paraId="39DE48D5" w14:textId="77777777" w:rsidR="00912973" w:rsidRPr="00140CAE" w:rsidRDefault="00912973" w:rsidP="00A61D0B">
      <w:pPr>
        <w:rPr>
          <w:iCs/>
        </w:rPr>
      </w:pPr>
      <w:r w:rsidRPr="00140CAE">
        <w:rPr>
          <w:iCs/>
        </w:rPr>
        <w:t xml:space="preserve">Community </w:t>
      </w:r>
      <w:r w:rsidR="009C0F3F" w:rsidRPr="00140CAE">
        <w:rPr>
          <w:iCs/>
        </w:rPr>
        <w:t>–</w:t>
      </w:r>
      <w:r w:rsidRPr="00140CAE">
        <w:rPr>
          <w:iCs/>
        </w:rPr>
        <w:t xml:space="preserve"> </w:t>
      </w:r>
      <w:r w:rsidR="009C0F3F" w:rsidRPr="00140CAE">
        <w:rPr>
          <w:iCs/>
        </w:rPr>
        <w:t>Total number of C</w:t>
      </w:r>
      <w:r w:rsidR="00340CA6" w:rsidRPr="00140CAE">
        <w:rPr>
          <w:iCs/>
        </w:rPr>
        <w:t>ustomer enquiries and/or</w:t>
      </w:r>
      <w:r w:rsidR="002178D6" w:rsidRPr="00140CAE">
        <w:rPr>
          <w:iCs/>
        </w:rPr>
        <w:t xml:space="preserve"> </w:t>
      </w:r>
      <w:r w:rsidR="009C0F3F" w:rsidRPr="00140CAE">
        <w:rPr>
          <w:iCs/>
        </w:rPr>
        <w:t>requests relating to footpath repairs</w:t>
      </w:r>
    </w:p>
    <w:tbl>
      <w:tblPr>
        <w:tblW w:w="5000" w:type="pct"/>
        <w:tblBorders>
          <w:top w:val="single" w:sz="8" w:space="0" w:color="auto"/>
          <w:left w:val="single" w:sz="8" w:space="0" w:color="auto"/>
          <w:bottom w:val="single" w:sz="8" w:space="0" w:color="auto"/>
          <w:right w:val="single" w:sz="8" w:space="0" w:color="auto"/>
          <w:insideH w:val="single" w:sz="8" w:space="0" w:color="FFFFFF"/>
          <w:insideV w:val="single" w:sz="8" w:space="0" w:color="FFFFFF"/>
        </w:tblBorders>
        <w:tblLook w:val="04A0" w:firstRow="1" w:lastRow="0" w:firstColumn="1" w:lastColumn="0" w:noHBand="0" w:noVBand="1"/>
      </w:tblPr>
      <w:tblGrid>
        <w:gridCol w:w="1753"/>
        <w:gridCol w:w="1261"/>
        <w:gridCol w:w="1261"/>
        <w:gridCol w:w="1261"/>
        <w:gridCol w:w="1261"/>
        <w:gridCol w:w="1261"/>
        <w:gridCol w:w="1185"/>
      </w:tblGrid>
      <w:tr w:rsidR="00C91BCA" w:rsidRPr="00140CAE" w14:paraId="25AE0CAD" w14:textId="77777777" w:rsidTr="00BA2B79">
        <w:trPr>
          <w:trHeight w:val="402"/>
        </w:trPr>
        <w:tc>
          <w:tcPr>
            <w:tcW w:w="949" w:type="pct"/>
            <w:tcBorders>
              <w:bottom w:val="thinThickSmallGap" w:sz="24" w:space="0" w:color="auto"/>
            </w:tcBorders>
            <w:shd w:val="clear" w:color="000000" w:fill="4BACC6"/>
            <w:vAlign w:val="center"/>
            <w:hideMark/>
          </w:tcPr>
          <w:p w14:paraId="1F9CD47E" w14:textId="77777777"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Community</w:t>
            </w:r>
          </w:p>
        </w:tc>
        <w:tc>
          <w:tcPr>
            <w:tcW w:w="682" w:type="pct"/>
            <w:tcBorders>
              <w:bottom w:val="thinThickSmallGap" w:sz="24" w:space="0" w:color="auto"/>
            </w:tcBorders>
            <w:shd w:val="clear" w:color="000000" w:fill="4BACC6"/>
            <w:vAlign w:val="center"/>
            <w:hideMark/>
          </w:tcPr>
          <w:p w14:paraId="5E90B9B1" w14:textId="028CDF9A"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2012</w:t>
            </w:r>
            <w:r w:rsidR="00A2617E">
              <w:rPr>
                <w:rFonts w:ascii="Arial Narrow" w:hAnsi="Arial Narrow"/>
                <w:b/>
                <w:bCs/>
                <w:iCs/>
                <w:color w:val="FFFFFF"/>
                <w:szCs w:val="24"/>
                <w:lang w:eastAsia="en-AU"/>
              </w:rPr>
              <w:t>-</w:t>
            </w:r>
            <w:r w:rsidRPr="00140CAE">
              <w:rPr>
                <w:rFonts w:ascii="Arial Narrow" w:hAnsi="Arial Narrow"/>
                <w:b/>
                <w:bCs/>
                <w:iCs/>
                <w:color w:val="FFFFFF"/>
                <w:szCs w:val="24"/>
                <w:lang w:eastAsia="en-AU"/>
              </w:rPr>
              <w:t>13</w:t>
            </w:r>
          </w:p>
        </w:tc>
        <w:tc>
          <w:tcPr>
            <w:tcW w:w="682" w:type="pct"/>
            <w:tcBorders>
              <w:bottom w:val="thinThickSmallGap" w:sz="24" w:space="0" w:color="auto"/>
            </w:tcBorders>
            <w:shd w:val="clear" w:color="000000" w:fill="4BACC6"/>
            <w:vAlign w:val="center"/>
            <w:hideMark/>
          </w:tcPr>
          <w:p w14:paraId="7130A5EC" w14:textId="276EB3B9"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2013</w:t>
            </w:r>
            <w:r w:rsidR="00A2617E">
              <w:rPr>
                <w:rFonts w:ascii="Arial Narrow" w:hAnsi="Arial Narrow"/>
                <w:b/>
                <w:bCs/>
                <w:iCs/>
                <w:color w:val="FFFFFF"/>
                <w:szCs w:val="24"/>
                <w:lang w:eastAsia="en-AU"/>
              </w:rPr>
              <w:t>-</w:t>
            </w:r>
            <w:r w:rsidRPr="00140CAE">
              <w:rPr>
                <w:rFonts w:ascii="Arial Narrow" w:hAnsi="Arial Narrow"/>
                <w:b/>
                <w:bCs/>
                <w:iCs/>
                <w:color w:val="FFFFFF"/>
                <w:szCs w:val="24"/>
                <w:lang w:eastAsia="en-AU"/>
              </w:rPr>
              <w:t>14</w:t>
            </w:r>
          </w:p>
        </w:tc>
        <w:tc>
          <w:tcPr>
            <w:tcW w:w="682" w:type="pct"/>
            <w:tcBorders>
              <w:bottom w:val="thinThickSmallGap" w:sz="24" w:space="0" w:color="auto"/>
            </w:tcBorders>
            <w:shd w:val="clear" w:color="000000" w:fill="4BACC6"/>
            <w:vAlign w:val="center"/>
            <w:hideMark/>
          </w:tcPr>
          <w:p w14:paraId="725A3AC7" w14:textId="39202D85"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2016</w:t>
            </w:r>
            <w:r w:rsidR="00A2617E">
              <w:rPr>
                <w:rFonts w:ascii="Arial Narrow" w:hAnsi="Arial Narrow"/>
                <w:b/>
                <w:bCs/>
                <w:iCs/>
                <w:color w:val="FFFFFF"/>
                <w:szCs w:val="24"/>
                <w:lang w:eastAsia="en-AU"/>
              </w:rPr>
              <w:t>-</w:t>
            </w:r>
            <w:r w:rsidRPr="00140CAE">
              <w:rPr>
                <w:rFonts w:ascii="Arial Narrow" w:hAnsi="Arial Narrow"/>
                <w:b/>
                <w:bCs/>
                <w:iCs/>
                <w:color w:val="FFFFFF"/>
                <w:szCs w:val="24"/>
                <w:lang w:eastAsia="en-AU"/>
              </w:rPr>
              <w:t>17</w:t>
            </w:r>
          </w:p>
        </w:tc>
        <w:tc>
          <w:tcPr>
            <w:tcW w:w="682" w:type="pct"/>
            <w:tcBorders>
              <w:bottom w:val="thinThickSmallGap" w:sz="24" w:space="0" w:color="auto"/>
            </w:tcBorders>
            <w:shd w:val="clear" w:color="000000" w:fill="4BACC6"/>
            <w:vAlign w:val="center"/>
            <w:hideMark/>
          </w:tcPr>
          <w:p w14:paraId="0A8DE1CD" w14:textId="7F2B2F9A"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2017</w:t>
            </w:r>
            <w:r w:rsidR="00A2617E">
              <w:rPr>
                <w:rFonts w:ascii="Arial Narrow" w:hAnsi="Arial Narrow"/>
                <w:b/>
                <w:bCs/>
                <w:iCs/>
                <w:color w:val="FFFFFF"/>
                <w:szCs w:val="24"/>
                <w:lang w:eastAsia="en-AU"/>
              </w:rPr>
              <w:t>-</w:t>
            </w:r>
            <w:r w:rsidRPr="00140CAE">
              <w:rPr>
                <w:rFonts w:ascii="Arial Narrow" w:hAnsi="Arial Narrow"/>
                <w:b/>
                <w:bCs/>
                <w:iCs/>
                <w:color w:val="FFFFFF"/>
                <w:szCs w:val="24"/>
                <w:lang w:eastAsia="en-AU"/>
              </w:rPr>
              <w:t>18</w:t>
            </w:r>
          </w:p>
        </w:tc>
        <w:tc>
          <w:tcPr>
            <w:tcW w:w="682" w:type="pct"/>
            <w:tcBorders>
              <w:bottom w:val="thinThickSmallGap" w:sz="24" w:space="0" w:color="auto"/>
            </w:tcBorders>
            <w:shd w:val="clear" w:color="000000" w:fill="4BACC6"/>
            <w:vAlign w:val="center"/>
            <w:hideMark/>
          </w:tcPr>
          <w:p w14:paraId="001C328B" w14:textId="1B3CCB86" w:rsidR="00C91BCA" w:rsidRPr="00140CAE" w:rsidRDefault="00C91BCA" w:rsidP="007F0E85">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201</w:t>
            </w:r>
            <w:r w:rsidR="007F0E85" w:rsidRPr="00140CAE">
              <w:rPr>
                <w:rFonts w:ascii="Arial Narrow" w:hAnsi="Arial Narrow"/>
                <w:b/>
                <w:bCs/>
                <w:iCs/>
                <w:color w:val="FFFFFF"/>
                <w:szCs w:val="24"/>
                <w:lang w:eastAsia="en-AU"/>
              </w:rPr>
              <w:t>9</w:t>
            </w:r>
            <w:r w:rsidR="00A2617E">
              <w:rPr>
                <w:rFonts w:ascii="Arial Narrow" w:hAnsi="Arial Narrow"/>
                <w:b/>
                <w:bCs/>
                <w:iCs/>
                <w:color w:val="FFFFFF"/>
                <w:szCs w:val="24"/>
                <w:lang w:eastAsia="en-AU"/>
              </w:rPr>
              <w:t>-</w:t>
            </w:r>
            <w:r w:rsidR="007F0E85" w:rsidRPr="00140CAE">
              <w:rPr>
                <w:rFonts w:ascii="Arial Narrow" w:hAnsi="Arial Narrow"/>
                <w:b/>
                <w:bCs/>
                <w:iCs/>
                <w:color w:val="FFFFFF"/>
                <w:szCs w:val="24"/>
                <w:lang w:eastAsia="en-AU"/>
              </w:rPr>
              <w:t>20</w:t>
            </w:r>
          </w:p>
        </w:tc>
        <w:tc>
          <w:tcPr>
            <w:tcW w:w="642" w:type="pct"/>
            <w:tcBorders>
              <w:bottom w:val="thinThickSmallGap" w:sz="24" w:space="0" w:color="auto"/>
            </w:tcBorders>
            <w:shd w:val="clear" w:color="000000" w:fill="4BACC6"/>
            <w:vAlign w:val="center"/>
            <w:hideMark/>
          </w:tcPr>
          <w:p w14:paraId="54CBB365" w14:textId="77777777" w:rsidR="00C91BCA" w:rsidRPr="00140CAE" w:rsidRDefault="00C91BCA" w:rsidP="00C91BCA">
            <w:pPr>
              <w:spacing w:after="0"/>
              <w:jc w:val="center"/>
              <w:rPr>
                <w:rFonts w:ascii="Arial Narrow" w:hAnsi="Arial Narrow"/>
                <w:b/>
                <w:bCs/>
                <w:iCs/>
                <w:color w:val="FFFFFF"/>
                <w:szCs w:val="24"/>
                <w:lang w:eastAsia="en-AU"/>
              </w:rPr>
            </w:pPr>
            <w:r w:rsidRPr="00140CAE">
              <w:rPr>
                <w:rFonts w:ascii="Arial Narrow" w:hAnsi="Arial Narrow"/>
                <w:b/>
                <w:bCs/>
                <w:iCs/>
                <w:color w:val="FFFFFF"/>
                <w:szCs w:val="24"/>
                <w:lang w:eastAsia="en-AU"/>
              </w:rPr>
              <w:t>Status</w:t>
            </w:r>
          </w:p>
        </w:tc>
      </w:tr>
      <w:tr w:rsidR="00C91BCA" w:rsidRPr="00140CAE" w14:paraId="0DC7D167" w14:textId="77777777" w:rsidTr="00BA2B79">
        <w:trPr>
          <w:trHeight w:val="402"/>
        </w:trPr>
        <w:tc>
          <w:tcPr>
            <w:tcW w:w="949" w:type="pct"/>
            <w:tcBorders>
              <w:top w:val="thinThickSmallGap" w:sz="24" w:space="0" w:color="auto"/>
              <w:bottom w:val="single" w:sz="8" w:space="0" w:color="auto"/>
              <w:right w:val="thinThickSmallGap" w:sz="24" w:space="0" w:color="auto"/>
            </w:tcBorders>
            <w:shd w:val="clear" w:color="000000" w:fill="4BACC6"/>
            <w:vAlign w:val="center"/>
            <w:hideMark/>
          </w:tcPr>
          <w:p w14:paraId="212908B0" w14:textId="77777777" w:rsidR="00C91BCA" w:rsidRPr="00140CAE" w:rsidRDefault="00C91BCA" w:rsidP="00C91BCA">
            <w:pPr>
              <w:spacing w:after="0"/>
              <w:jc w:val="center"/>
              <w:rPr>
                <w:rFonts w:ascii="Arial Narrow" w:hAnsi="Arial Narrow"/>
                <w:iCs/>
                <w:color w:val="FFFFFF"/>
                <w:szCs w:val="24"/>
                <w:lang w:eastAsia="en-AU"/>
              </w:rPr>
            </w:pPr>
            <w:r w:rsidRPr="00140CAE">
              <w:rPr>
                <w:rFonts w:ascii="Arial Narrow" w:hAnsi="Arial Narrow"/>
                <w:iCs/>
                <w:color w:val="FFFFFF"/>
                <w:szCs w:val="24"/>
                <w:lang w:eastAsia="en-AU"/>
              </w:rPr>
              <w:t>Total</w:t>
            </w:r>
          </w:p>
        </w:tc>
        <w:tc>
          <w:tcPr>
            <w:tcW w:w="682" w:type="pct"/>
            <w:tcBorders>
              <w:top w:val="thinThickSmallGap" w:sz="24" w:space="0" w:color="auto"/>
              <w:left w:val="thinThickSmallGap" w:sz="24" w:space="0" w:color="auto"/>
              <w:bottom w:val="single" w:sz="8" w:space="0" w:color="auto"/>
            </w:tcBorders>
            <w:shd w:val="clear" w:color="000000" w:fill="B6DDE8"/>
            <w:vAlign w:val="center"/>
            <w:hideMark/>
          </w:tcPr>
          <w:p w14:paraId="3E3F187C" w14:textId="77777777" w:rsidR="00C91BCA" w:rsidRPr="00140CAE" w:rsidRDefault="00C91BCA" w:rsidP="00C91BCA">
            <w:pPr>
              <w:spacing w:after="0"/>
              <w:jc w:val="center"/>
              <w:rPr>
                <w:rFonts w:ascii="Arial Narrow" w:hAnsi="Arial Narrow"/>
                <w:iCs/>
                <w:color w:val="000000"/>
                <w:szCs w:val="24"/>
                <w:lang w:eastAsia="en-AU"/>
              </w:rPr>
            </w:pPr>
            <w:r w:rsidRPr="00140CAE">
              <w:rPr>
                <w:rFonts w:ascii="Arial Narrow" w:hAnsi="Arial Narrow"/>
                <w:iCs/>
                <w:color w:val="000000"/>
                <w:szCs w:val="24"/>
                <w:lang w:eastAsia="en-AU"/>
              </w:rPr>
              <w:t>207</w:t>
            </w:r>
          </w:p>
        </w:tc>
        <w:tc>
          <w:tcPr>
            <w:tcW w:w="682" w:type="pct"/>
            <w:tcBorders>
              <w:top w:val="thinThickSmallGap" w:sz="24" w:space="0" w:color="auto"/>
              <w:bottom w:val="single" w:sz="8" w:space="0" w:color="auto"/>
            </w:tcBorders>
            <w:shd w:val="clear" w:color="000000" w:fill="B6DDE8"/>
            <w:vAlign w:val="center"/>
            <w:hideMark/>
          </w:tcPr>
          <w:p w14:paraId="159B3101" w14:textId="77777777" w:rsidR="00C91BCA" w:rsidRPr="00140CAE" w:rsidRDefault="00C91BCA" w:rsidP="00C91BCA">
            <w:pPr>
              <w:spacing w:after="0"/>
              <w:jc w:val="center"/>
              <w:rPr>
                <w:rFonts w:ascii="Arial Narrow" w:hAnsi="Arial Narrow"/>
                <w:iCs/>
                <w:color w:val="000000"/>
                <w:szCs w:val="24"/>
                <w:lang w:eastAsia="en-AU"/>
              </w:rPr>
            </w:pPr>
            <w:r w:rsidRPr="00140CAE">
              <w:rPr>
                <w:rFonts w:ascii="Arial Narrow" w:hAnsi="Arial Narrow"/>
                <w:iCs/>
                <w:noProof/>
                <w:color w:val="000000"/>
                <w:szCs w:val="24"/>
                <w:lang w:eastAsia="en-AU"/>
              </w:rPr>
              <w:t>204</w:t>
            </w:r>
          </w:p>
        </w:tc>
        <w:tc>
          <w:tcPr>
            <w:tcW w:w="682" w:type="pct"/>
            <w:tcBorders>
              <w:top w:val="thinThickSmallGap" w:sz="24" w:space="0" w:color="auto"/>
              <w:bottom w:val="single" w:sz="8" w:space="0" w:color="auto"/>
            </w:tcBorders>
            <w:shd w:val="clear" w:color="000000" w:fill="B6DDE8"/>
            <w:vAlign w:val="center"/>
            <w:hideMark/>
          </w:tcPr>
          <w:p w14:paraId="7DB3B2AD" w14:textId="77777777" w:rsidR="00C91BCA" w:rsidRPr="00140CAE" w:rsidRDefault="00C91BCA" w:rsidP="00C91BCA">
            <w:pPr>
              <w:spacing w:after="0"/>
              <w:jc w:val="center"/>
              <w:rPr>
                <w:rFonts w:ascii="Arial Narrow" w:hAnsi="Arial Narrow"/>
                <w:iCs/>
                <w:color w:val="000000"/>
                <w:szCs w:val="24"/>
                <w:lang w:eastAsia="en-AU"/>
              </w:rPr>
            </w:pPr>
            <w:r w:rsidRPr="00140CAE">
              <w:rPr>
                <w:rFonts w:ascii="Arial Narrow" w:hAnsi="Arial Narrow"/>
                <w:iCs/>
                <w:noProof/>
                <w:color w:val="000000"/>
                <w:szCs w:val="24"/>
                <w:lang w:eastAsia="en-AU"/>
              </w:rPr>
              <w:t>213</w:t>
            </w:r>
          </w:p>
        </w:tc>
        <w:tc>
          <w:tcPr>
            <w:tcW w:w="682" w:type="pct"/>
            <w:tcBorders>
              <w:top w:val="thinThickSmallGap" w:sz="24" w:space="0" w:color="auto"/>
              <w:bottom w:val="single" w:sz="8" w:space="0" w:color="auto"/>
            </w:tcBorders>
            <w:shd w:val="clear" w:color="000000" w:fill="B6DDE8"/>
            <w:vAlign w:val="center"/>
            <w:hideMark/>
          </w:tcPr>
          <w:p w14:paraId="71DA8357" w14:textId="77777777" w:rsidR="00C91BCA" w:rsidRPr="00140CAE" w:rsidRDefault="00C91BCA" w:rsidP="00C91BCA">
            <w:pPr>
              <w:spacing w:after="0"/>
              <w:jc w:val="center"/>
              <w:rPr>
                <w:rFonts w:ascii="Arial Narrow" w:hAnsi="Arial Narrow"/>
                <w:iCs/>
                <w:color w:val="000000"/>
                <w:szCs w:val="24"/>
                <w:lang w:eastAsia="en-AU"/>
              </w:rPr>
            </w:pPr>
            <w:r w:rsidRPr="00140CAE">
              <w:rPr>
                <w:rFonts w:ascii="Arial Narrow" w:hAnsi="Arial Narrow"/>
                <w:iCs/>
                <w:color w:val="000000"/>
                <w:szCs w:val="24"/>
                <w:lang w:eastAsia="en-AU"/>
              </w:rPr>
              <w:t>156</w:t>
            </w:r>
          </w:p>
        </w:tc>
        <w:tc>
          <w:tcPr>
            <w:tcW w:w="682" w:type="pct"/>
            <w:tcBorders>
              <w:top w:val="thinThickSmallGap" w:sz="24" w:space="0" w:color="auto"/>
              <w:bottom w:val="single" w:sz="8" w:space="0" w:color="auto"/>
            </w:tcBorders>
            <w:shd w:val="clear" w:color="000000" w:fill="B6DDE8"/>
            <w:vAlign w:val="center"/>
            <w:hideMark/>
          </w:tcPr>
          <w:p w14:paraId="66EDA168" w14:textId="77777777" w:rsidR="00C91BCA" w:rsidRPr="00140CAE" w:rsidRDefault="00C91BCA" w:rsidP="0059526E">
            <w:pPr>
              <w:spacing w:after="0"/>
              <w:jc w:val="center"/>
              <w:rPr>
                <w:rFonts w:ascii="Arial Narrow" w:hAnsi="Arial Narrow"/>
                <w:iCs/>
                <w:color w:val="000000"/>
                <w:szCs w:val="24"/>
                <w:lang w:eastAsia="en-AU"/>
              </w:rPr>
            </w:pPr>
            <w:r w:rsidRPr="00140CAE">
              <w:rPr>
                <w:rFonts w:ascii="Arial Narrow" w:hAnsi="Arial Narrow"/>
                <w:iCs/>
                <w:color w:val="000000"/>
                <w:szCs w:val="24"/>
                <w:lang w:eastAsia="en-AU"/>
              </w:rPr>
              <w:t>2</w:t>
            </w:r>
            <w:r w:rsidR="0059526E" w:rsidRPr="00140CAE">
              <w:rPr>
                <w:rFonts w:ascii="Arial Narrow" w:hAnsi="Arial Narrow"/>
                <w:iCs/>
                <w:color w:val="000000"/>
                <w:szCs w:val="24"/>
                <w:lang w:eastAsia="en-AU"/>
              </w:rPr>
              <w:t>22</w:t>
            </w:r>
          </w:p>
        </w:tc>
        <w:tc>
          <w:tcPr>
            <w:tcW w:w="642" w:type="pct"/>
            <w:tcBorders>
              <w:top w:val="thinThickSmallGap" w:sz="24" w:space="0" w:color="auto"/>
              <w:bottom w:val="single" w:sz="8" w:space="0" w:color="auto"/>
            </w:tcBorders>
            <w:shd w:val="clear" w:color="000000" w:fill="B6DDE8"/>
            <w:vAlign w:val="center"/>
            <w:hideMark/>
          </w:tcPr>
          <w:p w14:paraId="4555F5E9" w14:textId="77777777" w:rsidR="00C91BCA" w:rsidRPr="00140CAE" w:rsidRDefault="00C91BCA" w:rsidP="00C91BCA">
            <w:pPr>
              <w:spacing w:after="0"/>
              <w:jc w:val="left"/>
              <w:rPr>
                <w:rFonts w:ascii="Arial Narrow" w:hAnsi="Arial Narrow"/>
                <w:iCs/>
                <w:color w:val="000000"/>
                <w:szCs w:val="24"/>
                <w:lang w:eastAsia="en-AU"/>
              </w:rPr>
            </w:pPr>
            <w:r w:rsidRPr="00140CAE">
              <w:rPr>
                <w:rFonts w:ascii="Arial Narrow" w:hAnsi="Arial Narrow"/>
                <w:iCs/>
                <w:noProof/>
                <w:color w:val="000000"/>
                <w:szCs w:val="24"/>
                <w:lang w:eastAsia="en-AU"/>
              </w:rPr>
              <mc:AlternateContent>
                <mc:Choice Requires="wps">
                  <w:drawing>
                    <wp:anchor distT="0" distB="0" distL="114300" distR="114300" simplePos="0" relativeHeight="251639808" behindDoc="0" locked="0" layoutInCell="1" allowOverlap="1" wp14:anchorId="7CC47428" wp14:editId="17A90CB5">
                      <wp:simplePos x="0" y="0"/>
                      <wp:positionH relativeFrom="column">
                        <wp:posOffset>190500</wp:posOffset>
                      </wp:positionH>
                      <wp:positionV relativeFrom="paragraph">
                        <wp:posOffset>19050</wp:posOffset>
                      </wp:positionV>
                      <wp:extent cx="180975" cy="161925"/>
                      <wp:effectExtent l="0" t="0" r="28575" b="28575"/>
                      <wp:wrapNone/>
                      <wp:docPr id="473" name="Flowchart: Connector 473"/>
                      <wp:cNvGraphicFramePr/>
                      <a:graphic xmlns:a="http://schemas.openxmlformats.org/drawingml/2006/main">
                        <a:graphicData uri="http://schemas.microsoft.com/office/word/2010/wordprocessingShape">
                          <wps:wsp>
                            <wps:cNvSpPr/>
                            <wps:spPr>
                              <a:xfrm>
                                <a:off x="0" y="0"/>
                                <a:ext cx="171450" cy="152400"/>
                              </a:xfrm>
                              <a:prstGeom prst="flowChartConnector">
                                <a:avLst/>
                              </a:prstGeom>
                              <a:solidFill>
                                <a:srgbClr val="FF0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D63C6A" id="Flowchart: Connector 473" o:spid="_x0000_s1026" type="#_x0000_t120" style="position:absolute;margin-left:15pt;margin-top:1.5pt;width:14.25pt;height:1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" fillcolor="red" strokecolor="windowText" strokeweight=".5pt"/>
                  </w:pict>
                </mc:Fallback>
              </mc:AlternateContent>
            </w:r>
          </w:p>
        </w:tc>
      </w:tr>
    </w:tbl>
    <w:p w14:paraId="45B90328" w14:textId="77777777" w:rsidR="0087701D" w:rsidRPr="00140CAE" w:rsidRDefault="0087701D" w:rsidP="0087701D">
      <w:pPr>
        <w:rPr>
          <w:iCs/>
        </w:rPr>
      </w:pPr>
    </w:p>
    <w:p w14:paraId="65BAEBD9" w14:textId="77777777" w:rsidR="0087701D" w:rsidRPr="00140CAE" w:rsidRDefault="003B2E0B" w:rsidP="0087701D">
      <w:pPr>
        <w:rPr>
          <w:iCs/>
        </w:rPr>
      </w:pPr>
      <w:r w:rsidRPr="00140CAE">
        <w:rPr>
          <w:iCs/>
        </w:rPr>
        <w:t xml:space="preserve">Technical – </w:t>
      </w:r>
      <w:r w:rsidR="0016062F" w:rsidRPr="00140CAE">
        <w:rPr>
          <w:iCs/>
        </w:rPr>
        <w:tab/>
      </w:r>
      <w:r w:rsidRPr="00140CAE">
        <w:rPr>
          <w:iCs/>
        </w:rPr>
        <w:t>Footpaths are to be maintained to a good condition with an intervention level being set at condition 4</w:t>
      </w:r>
    </w:p>
    <w:p w14:paraId="4EF6C743" w14:textId="77777777" w:rsidR="00912973" w:rsidRPr="00140CAE" w:rsidRDefault="0016062F" w:rsidP="0087701D">
      <w:pPr>
        <w:rPr>
          <w:iCs/>
        </w:rPr>
      </w:pPr>
      <w:r w:rsidRPr="00140CAE">
        <w:rPr>
          <w:iCs/>
        </w:rPr>
        <w:t>Condition rating of footpath as a % of total area</w:t>
      </w:r>
    </w:p>
    <w:tbl>
      <w:tblPr>
        <w:tblStyle w:val="MediumGrid3-Accent11"/>
        <w:tblW w:w="0" w:type="auto"/>
        <w:jc w:val="center"/>
        <w:tblLayout w:type="fixed"/>
        <w:tblLook w:val="04A0" w:firstRow="1" w:lastRow="0" w:firstColumn="1" w:lastColumn="0" w:noHBand="0" w:noVBand="1"/>
      </w:tblPr>
      <w:tblGrid>
        <w:gridCol w:w="1526"/>
        <w:gridCol w:w="1276"/>
        <w:gridCol w:w="992"/>
        <w:gridCol w:w="1134"/>
        <w:gridCol w:w="992"/>
        <w:gridCol w:w="992"/>
        <w:gridCol w:w="1339"/>
        <w:gridCol w:w="992"/>
      </w:tblGrid>
      <w:tr w:rsidR="004321EC" w:rsidRPr="00140CAE" w14:paraId="6363D228" w14:textId="77777777" w:rsidTr="00E12743">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8" w:space="0" w:color="auto"/>
              <w:left w:val="single" w:sz="8" w:space="0" w:color="auto"/>
              <w:bottom w:val="single" w:sz="8" w:space="0" w:color="FFFFFF"/>
            </w:tcBorders>
            <w:shd w:val="clear" w:color="auto" w:fill="4BACC6" w:themeFill="accent5"/>
            <w:vAlign w:val="center"/>
          </w:tcPr>
          <w:p w14:paraId="6C47309A" w14:textId="77777777" w:rsidR="004321EC" w:rsidRPr="00140CAE" w:rsidRDefault="004321EC" w:rsidP="00186D73">
            <w:pPr>
              <w:spacing w:before="60" w:after="120"/>
              <w:jc w:val="center"/>
              <w:rPr>
                <w:rFonts w:ascii="Arial Narrow" w:hAnsi="Arial Narrow"/>
                <w:iCs/>
              </w:rPr>
            </w:pPr>
            <w:r w:rsidRPr="00140CAE">
              <w:rPr>
                <w:rFonts w:ascii="Arial Narrow" w:hAnsi="Arial Narrow"/>
                <w:iCs/>
              </w:rPr>
              <w:t>Technical</w:t>
            </w:r>
          </w:p>
        </w:tc>
        <w:tc>
          <w:tcPr>
            <w:tcW w:w="1276" w:type="dxa"/>
            <w:vMerge w:val="restart"/>
            <w:tcBorders>
              <w:top w:val="single" w:sz="8" w:space="0" w:color="auto"/>
            </w:tcBorders>
            <w:shd w:val="clear" w:color="auto" w:fill="4BACC6" w:themeFill="accent5"/>
            <w:vAlign w:val="center"/>
          </w:tcPr>
          <w:p w14:paraId="022066EE" w14:textId="77777777" w:rsidR="004321EC" w:rsidRPr="00140CAE" w:rsidRDefault="004321EC" w:rsidP="00186D7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 of total area</w:t>
            </w:r>
          </w:p>
        </w:tc>
        <w:tc>
          <w:tcPr>
            <w:tcW w:w="5449" w:type="dxa"/>
            <w:gridSpan w:val="5"/>
            <w:tcBorders>
              <w:top w:val="single" w:sz="8" w:space="0" w:color="auto"/>
              <w:bottom w:val="single" w:sz="8" w:space="0" w:color="FFFFFF"/>
            </w:tcBorders>
            <w:shd w:val="clear" w:color="auto" w:fill="4BACC6" w:themeFill="accent5"/>
            <w:vAlign w:val="center"/>
          </w:tcPr>
          <w:p w14:paraId="301969FD" w14:textId="77777777" w:rsidR="004321EC" w:rsidRPr="00140CAE" w:rsidRDefault="004321EC" w:rsidP="00186D7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 of total area in condition 4 or 5</w:t>
            </w:r>
          </w:p>
        </w:tc>
        <w:tc>
          <w:tcPr>
            <w:tcW w:w="992" w:type="dxa"/>
            <w:vMerge w:val="restart"/>
            <w:tcBorders>
              <w:top w:val="single" w:sz="8" w:space="0" w:color="auto"/>
              <w:right w:val="single" w:sz="8" w:space="0" w:color="auto"/>
            </w:tcBorders>
            <w:shd w:val="clear" w:color="auto" w:fill="4BACC6" w:themeFill="accent5"/>
            <w:vAlign w:val="center"/>
          </w:tcPr>
          <w:p w14:paraId="5A03EB39" w14:textId="77777777" w:rsidR="004321EC" w:rsidRPr="00140CAE" w:rsidRDefault="004321EC" w:rsidP="00186D7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Status</w:t>
            </w:r>
          </w:p>
        </w:tc>
      </w:tr>
      <w:tr w:rsidR="00615318" w:rsidRPr="00140CAE" w14:paraId="0BA25F7B" w14:textId="77777777" w:rsidTr="00BA2B79">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526" w:type="dxa"/>
            <w:vMerge/>
            <w:tcBorders>
              <w:left w:val="single" w:sz="8" w:space="0" w:color="auto"/>
              <w:bottom w:val="thinThickSmallGap" w:sz="24" w:space="0" w:color="auto"/>
            </w:tcBorders>
            <w:shd w:val="clear" w:color="auto" w:fill="4BACC6" w:themeFill="accent5"/>
            <w:vAlign w:val="center"/>
          </w:tcPr>
          <w:p w14:paraId="07822A51" w14:textId="77777777" w:rsidR="00937BAD" w:rsidRPr="00140CAE" w:rsidRDefault="00937BAD" w:rsidP="00186D73">
            <w:pPr>
              <w:spacing w:before="60" w:after="120"/>
              <w:jc w:val="center"/>
              <w:rPr>
                <w:rFonts w:ascii="Arial Narrow" w:hAnsi="Arial Narrow"/>
                <w:iCs/>
              </w:rPr>
            </w:pPr>
          </w:p>
        </w:tc>
        <w:tc>
          <w:tcPr>
            <w:tcW w:w="1276" w:type="dxa"/>
            <w:vMerge/>
            <w:tcBorders>
              <w:bottom w:val="thinThickSmallGap" w:sz="24" w:space="0" w:color="auto"/>
            </w:tcBorders>
            <w:shd w:val="clear" w:color="auto" w:fill="4BACC6" w:themeFill="accent5"/>
            <w:vAlign w:val="center"/>
          </w:tcPr>
          <w:p w14:paraId="279E1A7A"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p>
        </w:tc>
        <w:tc>
          <w:tcPr>
            <w:tcW w:w="992" w:type="dxa"/>
            <w:tcBorders>
              <w:bottom w:val="thinThickSmallGap" w:sz="24" w:space="0" w:color="auto"/>
            </w:tcBorders>
            <w:shd w:val="clear" w:color="auto" w:fill="4BACC6" w:themeFill="accent5"/>
            <w:vAlign w:val="center"/>
          </w:tcPr>
          <w:p w14:paraId="776A84DF" w14:textId="0E9BEBD1"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r w:rsidRPr="00140CAE">
              <w:rPr>
                <w:rFonts w:ascii="Arial Narrow" w:hAnsi="Arial Narrow"/>
                <w:iCs/>
                <w:color w:val="FFFFFF" w:themeColor="background1"/>
              </w:rPr>
              <w:t>2011</w:t>
            </w:r>
            <w:r w:rsidR="00A2617E">
              <w:rPr>
                <w:rFonts w:ascii="Arial Narrow" w:hAnsi="Arial Narrow"/>
                <w:iCs/>
                <w:color w:val="FFFFFF" w:themeColor="background1"/>
              </w:rPr>
              <w:t>-</w:t>
            </w:r>
            <w:r w:rsidRPr="00140CAE">
              <w:rPr>
                <w:rFonts w:ascii="Arial Narrow" w:hAnsi="Arial Narrow"/>
                <w:iCs/>
                <w:color w:val="FFFFFF" w:themeColor="background1"/>
              </w:rPr>
              <w:t>12</w:t>
            </w:r>
          </w:p>
        </w:tc>
        <w:tc>
          <w:tcPr>
            <w:tcW w:w="1134" w:type="dxa"/>
            <w:tcBorders>
              <w:bottom w:val="thinThickSmallGap" w:sz="24" w:space="0" w:color="auto"/>
            </w:tcBorders>
            <w:shd w:val="clear" w:color="auto" w:fill="4BACC6" w:themeFill="accent5"/>
            <w:vAlign w:val="center"/>
          </w:tcPr>
          <w:p w14:paraId="4C7854F3" w14:textId="6DF06782"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r w:rsidRPr="00140CAE">
              <w:rPr>
                <w:rFonts w:ascii="Arial Narrow" w:hAnsi="Arial Narrow"/>
                <w:iCs/>
                <w:color w:val="FFFFFF" w:themeColor="background1"/>
              </w:rPr>
              <w:t>2012</w:t>
            </w:r>
            <w:r w:rsidR="00A2617E">
              <w:rPr>
                <w:rFonts w:ascii="Arial Narrow" w:hAnsi="Arial Narrow"/>
                <w:iCs/>
                <w:color w:val="FFFFFF" w:themeColor="background1"/>
              </w:rPr>
              <w:t>-</w:t>
            </w:r>
            <w:r w:rsidRPr="00140CAE">
              <w:rPr>
                <w:rFonts w:ascii="Arial Narrow" w:hAnsi="Arial Narrow"/>
                <w:iCs/>
                <w:color w:val="FFFFFF" w:themeColor="background1"/>
              </w:rPr>
              <w:t>13</w:t>
            </w:r>
          </w:p>
        </w:tc>
        <w:tc>
          <w:tcPr>
            <w:tcW w:w="992" w:type="dxa"/>
            <w:tcBorders>
              <w:bottom w:val="thinThickSmallGap" w:sz="24" w:space="0" w:color="auto"/>
            </w:tcBorders>
            <w:shd w:val="clear" w:color="auto" w:fill="4BACC6" w:themeFill="accent5"/>
            <w:vAlign w:val="center"/>
          </w:tcPr>
          <w:p w14:paraId="3F5FC485" w14:textId="6D4B8F0D"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r w:rsidRPr="00140CAE">
              <w:rPr>
                <w:rFonts w:ascii="Arial Narrow" w:hAnsi="Arial Narrow"/>
                <w:iCs/>
                <w:color w:val="FFFFFF" w:themeColor="background1"/>
              </w:rPr>
              <w:t>2013</w:t>
            </w:r>
            <w:r w:rsidR="00A2617E">
              <w:rPr>
                <w:rFonts w:ascii="Arial Narrow" w:hAnsi="Arial Narrow"/>
                <w:iCs/>
                <w:color w:val="FFFFFF" w:themeColor="background1"/>
              </w:rPr>
              <w:t>-</w:t>
            </w:r>
            <w:r w:rsidRPr="00140CAE">
              <w:rPr>
                <w:rFonts w:ascii="Arial Narrow" w:hAnsi="Arial Narrow"/>
                <w:iCs/>
                <w:color w:val="FFFFFF" w:themeColor="background1"/>
              </w:rPr>
              <w:t>14</w:t>
            </w:r>
          </w:p>
        </w:tc>
        <w:tc>
          <w:tcPr>
            <w:tcW w:w="992" w:type="dxa"/>
            <w:tcBorders>
              <w:bottom w:val="thinThickSmallGap" w:sz="24" w:space="0" w:color="auto"/>
            </w:tcBorders>
            <w:shd w:val="clear" w:color="auto" w:fill="4BACC6" w:themeFill="accent5"/>
          </w:tcPr>
          <w:p w14:paraId="5802FEC7" w14:textId="6DBED1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r w:rsidRPr="00140CAE">
              <w:rPr>
                <w:rFonts w:ascii="Arial Narrow" w:hAnsi="Arial Narrow"/>
                <w:iCs/>
                <w:color w:val="FFFFFF" w:themeColor="background1"/>
              </w:rPr>
              <w:t>2016</w:t>
            </w:r>
            <w:r w:rsidR="00A2617E">
              <w:rPr>
                <w:rFonts w:ascii="Arial Narrow" w:hAnsi="Arial Narrow"/>
                <w:iCs/>
                <w:color w:val="FFFFFF" w:themeColor="background1"/>
              </w:rPr>
              <w:t>-</w:t>
            </w:r>
            <w:r w:rsidRPr="00140CAE">
              <w:rPr>
                <w:rFonts w:ascii="Arial Narrow" w:hAnsi="Arial Narrow"/>
                <w:iCs/>
                <w:color w:val="FFFFFF" w:themeColor="background1"/>
              </w:rPr>
              <w:t>17</w:t>
            </w:r>
          </w:p>
        </w:tc>
        <w:tc>
          <w:tcPr>
            <w:tcW w:w="1339" w:type="dxa"/>
            <w:tcBorders>
              <w:bottom w:val="thinThickSmallGap" w:sz="24" w:space="0" w:color="auto"/>
            </w:tcBorders>
            <w:shd w:val="clear" w:color="auto" w:fill="4BACC6" w:themeFill="accent5"/>
          </w:tcPr>
          <w:p w14:paraId="05F4F7AE" w14:textId="014AA274" w:rsidR="00937BAD" w:rsidRPr="00140CAE" w:rsidRDefault="00937BAD" w:rsidP="004D43A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FFFFFF" w:themeColor="background1"/>
              </w:rPr>
            </w:pPr>
            <w:r w:rsidRPr="00140CAE">
              <w:rPr>
                <w:rFonts w:ascii="Arial Narrow" w:hAnsi="Arial Narrow"/>
                <w:iCs/>
                <w:color w:val="FFFFFF" w:themeColor="background1"/>
              </w:rPr>
              <w:t>201</w:t>
            </w:r>
            <w:r w:rsidR="004D43A0" w:rsidRPr="00140CAE">
              <w:rPr>
                <w:rFonts w:ascii="Arial Narrow" w:hAnsi="Arial Narrow"/>
                <w:iCs/>
                <w:color w:val="FFFFFF" w:themeColor="background1"/>
              </w:rPr>
              <w:t>9</w:t>
            </w:r>
            <w:r w:rsidR="00A2617E">
              <w:rPr>
                <w:rFonts w:ascii="Arial Narrow" w:hAnsi="Arial Narrow"/>
                <w:iCs/>
                <w:color w:val="FFFFFF" w:themeColor="background1"/>
              </w:rPr>
              <w:t>-</w:t>
            </w:r>
            <w:r w:rsidR="004D43A0" w:rsidRPr="00140CAE">
              <w:rPr>
                <w:rFonts w:ascii="Arial Narrow" w:hAnsi="Arial Narrow"/>
                <w:iCs/>
                <w:color w:val="FFFFFF" w:themeColor="background1"/>
              </w:rPr>
              <w:t>20</w:t>
            </w:r>
          </w:p>
        </w:tc>
        <w:tc>
          <w:tcPr>
            <w:tcW w:w="992" w:type="dxa"/>
            <w:vMerge/>
            <w:tcBorders>
              <w:bottom w:val="thinThickSmallGap" w:sz="24" w:space="0" w:color="auto"/>
              <w:right w:val="single" w:sz="8" w:space="0" w:color="auto"/>
            </w:tcBorders>
            <w:shd w:val="clear" w:color="auto" w:fill="4BACC6" w:themeFill="accent5"/>
            <w:vAlign w:val="center"/>
          </w:tcPr>
          <w:p w14:paraId="21CE8A75"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p>
        </w:tc>
      </w:tr>
      <w:tr w:rsidR="00615318" w:rsidRPr="00140CAE" w14:paraId="3DE33CCE" w14:textId="77777777" w:rsidTr="00BA2B79">
        <w:trPr>
          <w:trHeight w:val="359"/>
          <w:jc w:val="center"/>
        </w:trPr>
        <w:tc>
          <w:tcPr>
            <w:cnfStyle w:val="001000000000" w:firstRow="0" w:lastRow="0" w:firstColumn="1" w:lastColumn="0" w:oddVBand="0" w:evenVBand="0" w:oddHBand="0" w:evenHBand="0" w:firstRowFirstColumn="0" w:firstRowLastColumn="0" w:lastRowFirstColumn="0" w:lastRowLastColumn="0"/>
            <w:tcW w:w="1526" w:type="dxa"/>
            <w:tcBorders>
              <w:top w:val="thinThickSmallGap" w:sz="24" w:space="0" w:color="auto"/>
              <w:left w:val="single" w:sz="8" w:space="0" w:color="auto"/>
              <w:bottom w:val="single" w:sz="8" w:space="0" w:color="FFFFFF"/>
              <w:right w:val="thinThickSmallGap" w:sz="24" w:space="0" w:color="auto"/>
            </w:tcBorders>
            <w:shd w:val="clear" w:color="auto" w:fill="4BACC6" w:themeFill="accent5"/>
            <w:vAlign w:val="center"/>
          </w:tcPr>
          <w:p w14:paraId="6F35B544" w14:textId="77777777" w:rsidR="00937BAD" w:rsidRPr="00140CAE" w:rsidRDefault="00937BAD" w:rsidP="00186D73">
            <w:pPr>
              <w:spacing w:before="60" w:after="60"/>
              <w:jc w:val="center"/>
              <w:rPr>
                <w:rFonts w:ascii="Arial Narrow" w:hAnsi="Arial Narrow"/>
                <w:iCs/>
              </w:rPr>
            </w:pPr>
            <w:r w:rsidRPr="00140CAE">
              <w:rPr>
                <w:rFonts w:ascii="Arial Narrow" w:hAnsi="Arial Narrow"/>
                <w:iCs/>
              </w:rPr>
              <w:t>Total</w:t>
            </w:r>
          </w:p>
        </w:tc>
        <w:tc>
          <w:tcPr>
            <w:tcW w:w="1276" w:type="dxa"/>
            <w:tcBorders>
              <w:top w:val="thinThickSmallGap" w:sz="24" w:space="0" w:color="auto"/>
              <w:left w:val="thinThickSmallGap" w:sz="24" w:space="0" w:color="auto"/>
              <w:bottom w:val="single" w:sz="8" w:space="0" w:color="FFFFFF"/>
            </w:tcBorders>
            <w:shd w:val="clear" w:color="auto" w:fill="B6DDE8" w:themeFill="accent5" w:themeFillTint="66"/>
            <w:vAlign w:val="center"/>
          </w:tcPr>
          <w:p w14:paraId="7A77EBC2"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100%</w:t>
            </w:r>
          </w:p>
        </w:tc>
        <w:tc>
          <w:tcPr>
            <w:tcW w:w="992" w:type="dxa"/>
            <w:tcBorders>
              <w:top w:val="thinThickSmallGap" w:sz="24" w:space="0" w:color="auto"/>
              <w:bottom w:val="single" w:sz="8" w:space="0" w:color="FFFFFF"/>
            </w:tcBorders>
            <w:shd w:val="clear" w:color="auto" w:fill="B6DDE8" w:themeFill="accent5" w:themeFillTint="66"/>
            <w:vAlign w:val="center"/>
          </w:tcPr>
          <w:p w14:paraId="659C6DA1"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3.77%</w:t>
            </w:r>
          </w:p>
        </w:tc>
        <w:tc>
          <w:tcPr>
            <w:tcW w:w="1134" w:type="dxa"/>
            <w:tcBorders>
              <w:top w:val="thinThickSmallGap" w:sz="24" w:space="0" w:color="auto"/>
              <w:bottom w:val="single" w:sz="8" w:space="0" w:color="FFFFFF"/>
            </w:tcBorders>
            <w:shd w:val="clear" w:color="auto" w:fill="B6DDE8" w:themeFill="accent5" w:themeFillTint="66"/>
            <w:vAlign w:val="center"/>
          </w:tcPr>
          <w:p w14:paraId="3D26B8F1"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3.35%</w:t>
            </w:r>
          </w:p>
        </w:tc>
        <w:tc>
          <w:tcPr>
            <w:tcW w:w="992" w:type="dxa"/>
            <w:tcBorders>
              <w:top w:val="thinThickSmallGap" w:sz="24" w:space="0" w:color="auto"/>
              <w:bottom w:val="single" w:sz="8" w:space="0" w:color="FFFFFF"/>
            </w:tcBorders>
            <w:shd w:val="clear" w:color="auto" w:fill="B6DDE8" w:themeFill="accent5" w:themeFillTint="66"/>
            <w:vAlign w:val="center"/>
          </w:tcPr>
          <w:p w14:paraId="1191CE45"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noProof/>
                <w:lang w:eastAsia="en-AU"/>
              </w:rPr>
            </w:pPr>
            <w:r w:rsidRPr="00140CAE">
              <w:rPr>
                <w:rFonts w:ascii="Arial Narrow" w:hAnsi="Arial Narrow"/>
                <w:iCs/>
                <w:noProof/>
                <w:lang w:eastAsia="en-AU"/>
              </w:rPr>
              <w:t>3.42%</w:t>
            </w:r>
          </w:p>
        </w:tc>
        <w:tc>
          <w:tcPr>
            <w:tcW w:w="992" w:type="dxa"/>
            <w:tcBorders>
              <w:top w:val="thinThickSmallGap" w:sz="24" w:space="0" w:color="auto"/>
              <w:bottom w:val="single" w:sz="8" w:space="0" w:color="FFFFFF"/>
            </w:tcBorders>
            <w:shd w:val="clear" w:color="auto" w:fill="B6DDE8" w:themeFill="accent5" w:themeFillTint="66"/>
          </w:tcPr>
          <w:p w14:paraId="21A2E2F1" w14:textId="77777777" w:rsidR="00937BAD" w:rsidRPr="00140CAE" w:rsidDel="00450B73"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noProof/>
                <w:lang w:eastAsia="en-AU"/>
              </w:rPr>
            </w:pPr>
            <w:r w:rsidRPr="00140CAE">
              <w:rPr>
                <w:rFonts w:ascii="Arial Narrow" w:hAnsi="Arial Narrow"/>
                <w:iCs/>
                <w:noProof/>
                <w:lang w:eastAsia="en-AU"/>
              </w:rPr>
              <w:t>14.2%</w:t>
            </w:r>
          </w:p>
        </w:tc>
        <w:tc>
          <w:tcPr>
            <w:tcW w:w="1339" w:type="dxa"/>
            <w:tcBorders>
              <w:top w:val="thinThickSmallGap" w:sz="24" w:space="0" w:color="auto"/>
              <w:bottom w:val="single" w:sz="8" w:space="0" w:color="FFFFFF"/>
            </w:tcBorders>
            <w:shd w:val="clear" w:color="auto" w:fill="B6DDE8" w:themeFill="accent5" w:themeFillTint="66"/>
          </w:tcPr>
          <w:p w14:paraId="00E90209" w14:textId="77777777" w:rsidR="00937BAD" w:rsidRPr="00140CAE" w:rsidDel="00450B73" w:rsidRDefault="00734E7D" w:rsidP="00C753C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noProof/>
                <w:lang w:eastAsia="en-AU"/>
              </w:rPr>
            </w:pPr>
            <w:r w:rsidRPr="00140CAE">
              <w:rPr>
                <w:rFonts w:ascii="Arial Narrow" w:hAnsi="Arial Narrow"/>
                <w:iCs/>
                <w:noProof/>
                <w:lang w:eastAsia="en-AU"/>
              </w:rPr>
              <w:t>6.8</w:t>
            </w:r>
            <w:r w:rsidR="00937BAD" w:rsidRPr="00140CAE">
              <w:rPr>
                <w:rFonts w:ascii="Arial Narrow" w:hAnsi="Arial Narrow"/>
                <w:iCs/>
                <w:noProof/>
                <w:lang w:eastAsia="en-AU"/>
              </w:rPr>
              <w:t>%</w:t>
            </w:r>
          </w:p>
        </w:tc>
        <w:tc>
          <w:tcPr>
            <w:tcW w:w="992" w:type="dxa"/>
            <w:tcBorders>
              <w:top w:val="thinThickSmallGap" w:sz="24" w:space="0" w:color="auto"/>
              <w:bottom w:val="single" w:sz="8" w:space="0" w:color="FFFFFF"/>
              <w:right w:val="single" w:sz="8" w:space="0" w:color="auto"/>
            </w:tcBorders>
            <w:shd w:val="clear" w:color="auto" w:fill="B6DDE8" w:themeFill="accent5" w:themeFillTint="66"/>
            <w:vAlign w:val="center"/>
          </w:tcPr>
          <w:p w14:paraId="05FFB584" w14:textId="77777777" w:rsidR="00937BAD" w:rsidRPr="00140CAE" w:rsidRDefault="009475E1"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cs="Arial"/>
                <w:iCs/>
                <w:noProof/>
                <w:szCs w:val="24"/>
                <w:lang w:eastAsia="en-AU"/>
              </w:rPr>
              <mc:AlternateContent>
                <mc:Choice Requires="wps">
                  <w:drawing>
                    <wp:anchor distT="0" distB="0" distL="114300" distR="114300" simplePos="0" relativeHeight="251674624" behindDoc="0" locked="0" layoutInCell="1" allowOverlap="1" wp14:anchorId="4B593E11" wp14:editId="39AEE280">
                      <wp:simplePos x="0" y="0"/>
                      <wp:positionH relativeFrom="column">
                        <wp:posOffset>99695</wp:posOffset>
                      </wp:positionH>
                      <wp:positionV relativeFrom="paragraph">
                        <wp:posOffset>27940</wp:posOffset>
                      </wp:positionV>
                      <wp:extent cx="179705" cy="179705"/>
                      <wp:effectExtent l="0" t="0" r="10795" b="10795"/>
                      <wp:wrapNone/>
                      <wp:docPr id="17" name="Flowchart: Connector 1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4607" id="Flowchart: Connector 17" o:spid="_x0000_s1026" type="#_x0000_t120" style="position:absolute;margin-left:7.85pt;margin-top:2.2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" fillcolor="#9bbb59" strokecolor="windowText" strokeweight=".5pt"/>
                  </w:pict>
                </mc:Fallback>
              </mc:AlternateContent>
            </w:r>
          </w:p>
        </w:tc>
      </w:tr>
      <w:tr w:rsidR="00937BAD" w:rsidRPr="00140CAE" w14:paraId="681C0668" w14:textId="77777777" w:rsidTr="00BA2B7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auto"/>
              <w:right w:val="thinThickSmallGap" w:sz="24" w:space="0" w:color="auto"/>
            </w:tcBorders>
            <w:shd w:val="clear" w:color="auto" w:fill="4BACC6" w:themeFill="accent5"/>
            <w:vAlign w:val="center"/>
          </w:tcPr>
          <w:p w14:paraId="51A0847B" w14:textId="77777777" w:rsidR="00937BAD" w:rsidRPr="00140CAE" w:rsidRDefault="00937BAD" w:rsidP="00186D73">
            <w:pPr>
              <w:spacing w:before="60" w:after="60"/>
              <w:jc w:val="center"/>
              <w:rPr>
                <w:rFonts w:ascii="Arial Narrow" w:hAnsi="Arial Narrow"/>
                <w:iCs/>
              </w:rPr>
            </w:pPr>
            <w:r w:rsidRPr="00140CAE">
              <w:rPr>
                <w:rFonts w:ascii="Arial Narrow" w:hAnsi="Arial Narrow"/>
                <w:iCs/>
              </w:rPr>
              <w:t>Parks</w:t>
            </w:r>
          </w:p>
        </w:tc>
        <w:tc>
          <w:tcPr>
            <w:tcW w:w="1276" w:type="dxa"/>
            <w:tcBorders>
              <w:left w:val="thinThickSmallGap" w:sz="24" w:space="0" w:color="auto"/>
            </w:tcBorders>
            <w:shd w:val="clear" w:color="auto" w:fill="DAEEF3" w:themeFill="accent5" w:themeFillTint="33"/>
            <w:vAlign w:val="center"/>
          </w:tcPr>
          <w:p w14:paraId="160754E1"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17.30%</w:t>
            </w:r>
          </w:p>
        </w:tc>
        <w:tc>
          <w:tcPr>
            <w:tcW w:w="992" w:type="dxa"/>
            <w:shd w:val="clear" w:color="auto" w:fill="DAEEF3" w:themeFill="accent5" w:themeFillTint="33"/>
            <w:vAlign w:val="center"/>
          </w:tcPr>
          <w:p w14:paraId="324FE852"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1.47%</w:t>
            </w:r>
          </w:p>
        </w:tc>
        <w:tc>
          <w:tcPr>
            <w:tcW w:w="1134" w:type="dxa"/>
            <w:shd w:val="clear" w:color="auto" w:fill="DAEEF3" w:themeFill="accent5" w:themeFillTint="33"/>
            <w:vAlign w:val="center"/>
          </w:tcPr>
          <w:p w14:paraId="3E906E8D"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1.36%</w:t>
            </w:r>
          </w:p>
        </w:tc>
        <w:tc>
          <w:tcPr>
            <w:tcW w:w="992" w:type="dxa"/>
            <w:shd w:val="clear" w:color="auto" w:fill="DAEEF3" w:themeFill="accent5" w:themeFillTint="33"/>
            <w:vAlign w:val="center"/>
          </w:tcPr>
          <w:p w14:paraId="45EDEC1E"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1.38%</w:t>
            </w:r>
          </w:p>
        </w:tc>
        <w:tc>
          <w:tcPr>
            <w:tcW w:w="992" w:type="dxa"/>
            <w:shd w:val="clear" w:color="auto" w:fill="DAEEF3" w:themeFill="accent5" w:themeFillTint="33"/>
          </w:tcPr>
          <w:p w14:paraId="53880D05" w14:textId="77777777" w:rsidR="00937BAD" w:rsidRPr="00140CAE" w:rsidRDefault="00937BAD"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4.7%</w:t>
            </w:r>
          </w:p>
        </w:tc>
        <w:tc>
          <w:tcPr>
            <w:tcW w:w="1339" w:type="dxa"/>
            <w:shd w:val="clear" w:color="auto" w:fill="DAEEF3" w:themeFill="accent5" w:themeFillTint="33"/>
          </w:tcPr>
          <w:p w14:paraId="256855A8" w14:textId="77777777" w:rsidR="00937BAD" w:rsidRPr="00140CAE" w:rsidRDefault="00734E7D" w:rsidP="00C753C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iCs/>
              </w:rPr>
              <w:t>1.8</w:t>
            </w:r>
            <w:r w:rsidR="00937BAD" w:rsidRPr="00140CAE">
              <w:rPr>
                <w:rFonts w:ascii="Arial Narrow" w:hAnsi="Arial Narrow"/>
                <w:iCs/>
              </w:rPr>
              <w:t>%</w:t>
            </w:r>
          </w:p>
        </w:tc>
        <w:tc>
          <w:tcPr>
            <w:tcW w:w="992" w:type="dxa"/>
            <w:tcBorders>
              <w:right w:val="single" w:sz="8" w:space="0" w:color="auto"/>
            </w:tcBorders>
            <w:shd w:val="clear" w:color="auto" w:fill="DAEEF3" w:themeFill="accent5" w:themeFillTint="33"/>
            <w:vAlign w:val="center"/>
          </w:tcPr>
          <w:p w14:paraId="2EAAC388" w14:textId="77777777" w:rsidR="00937BAD" w:rsidRPr="00140CAE" w:rsidRDefault="009475E1" w:rsidP="00186D7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140CAE">
              <w:rPr>
                <w:rFonts w:ascii="Arial Narrow" w:hAnsi="Arial Narrow" w:cs="Arial"/>
                <w:iCs/>
                <w:noProof/>
                <w:szCs w:val="24"/>
                <w:lang w:eastAsia="en-AU"/>
              </w:rPr>
              <mc:AlternateContent>
                <mc:Choice Requires="wps">
                  <w:drawing>
                    <wp:anchor distT="0" distB="0" distL="114300" distR="114300" simplePos="0" relativeHeight="251681792" behindDoc="0" locked="0" layoutInCell="1" allowOverlap="1" wp14:anchorId="0534178E" wp14:editId="3A7847E7">
                      <wp:simplePos x="0" y="0"/>
                      <wp:positionH relativeFrom="column">
                        <wp:posOffset>101600</wp:posOffset>
                      </wp:positionH>
                      <wp:positionV relativeFrom="paragraph">
                        <wp:posOffset>58420</wp:posOffset>
                      </wp:positionV>
                      <wp:extent cx="179705" cy="179705"/>
                      <wp:effectExtent l="0" t="0" r="10795" b="10795"/>
                      <wp:wrapNone/>
                      <wp:docPr id="18" name="Flowchart: Connector 1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EBF8" id="Flowchart: Connector 18" o:spid="_x0000_s1026" type="#_x0000_t120" style="position:absolute;margin-left:8pt;margin-top:4.6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" fillcolor="#9bbb59" strokecolor="windowText" strokeweight=".5pt"/>
                  </w:pict>
                </mc:Fallback>
              </mc:AlternateContent>
            </w:r>
          </w:p>
        </w:tc>
      </w:tr>
      <w:tr w:rsidR="00937BAD" w:rsidRPr="00140CAE" w14:paraId="0BF57267" w14:textId="77777777" w:rsidTr="00BA2B79">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auto"/>
              <w:bottom w:val="single" w:sz="8" w:space="0" w:color="auto"/>
              <w:right w:val="thinThickSmallGap" w:sz="24" w:space="0" w:color="auto"/>
            </w:tcBorders>
            <w:shd w:val="clear" w:color="auto" w:fill="4BACC6" w:themeFill="accent5"/>
            <w:vAlign w:val="center"/>
          </w:tcPr>
          <w:p w14:paraId="162EA0FF" w14:textId="77777777" w:rsidR="00937BAD" w:rsidRPr="00140CAE" w:rsidRDefault="00937BAD" w:rsidP="00186D73">
            <w:pPr>
              <w:spacing w:before="60" w:after="60"/>
              <w:jc w:val="center"/>
              <w:rPr>
                <w:rFonts w:ascii="Arial Narrow" w:hAnsi="Arial Narrow"/>
                <w:iCs/>
              </w:rPr>
            </w:pPr>
            <w:r w:rsidRPr="00140CAE">
              <w:rPr>
                <w:rFonts w:ascii="Arial Narrow" w:hAnsi="Arial Narrow"/>
                <w:iCs/>
              </w:rPr>
              <w:t>Roads</w:t>
            </w:r>
          </w:p>
        </w:tc>
        <w:tc>
          <w:tcPr>
            <w:tcW w:w="1276" w:type="dxa"/>
            <w:tcBorders>
              <w:left w:val="thinThickSmallGap" w:sz="24" w:space="0" w:color="auto"/>
              <w:bottom w:val="single" w:sz="8" w:space="0" w:color="auto"/>
            </w:tcBorders>
            <w:shd w:val="clear" w:color="auto" w:fill="B6DDE8" w:themeFill="accent5" w:themeFillTint="66"/>
            <w:vAlign w:val="center"/>
          </w:tcPr>
          <w:p w14:paraId="15E3089E"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82.70%</w:t>
            </w:r>
          </w:p>
        </w:tc>
        <w:tc>
          <w:tcPr>
            <w:tcW w:w="992" w:type="dxa"/>
            <w:tcBorders>
              <w:bottom w:val="single" w:sz="8" w:space="0" w:color="auto"/>
            </w:tcBorders>
            <w:shd w:val="clear" w:color="auto" w:fill="B6DDE8" w:themeFill="accent5" w:themeFillTint="66"/>
            <w:vAlign w:val="center"/>
          </w:tcPr>
          <w:p w14:paraId="41CE4ECB"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2.30%</w:t>
            </w:r>
          </w:p>
        </w:tc>
        <w:tc>
          <w:tcPr>
            <w:tcW w:w="1134" w:type="dxa"/>
            <w:tcBorders>
              <w:bottom w:val="single" w:sz="8" w:space="0" w:color="auto"/>
            </w:tcBorders>
            <w:shd w:val="clear" w:color="auto" w:fill="B6DDE8" w:themeFill="accent5" w:themeFillTint="66"/>
            <w:vAlign w:val="center"/>
          </w:tcPr>
          <w:p w14:paraId="22B1A0D5"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1.99%</w:t>
            </w:r>
          </w:p>
        </w:tc>
        <w:tc>
          <w:tcPr>
            <w:tcW w:w="992" w:type="dxa"/>
            <w:tcBorders>
              <w:bottom w:val="single" w:sz="8" w:space="0" w:color="auto"/>
            </w:tcBorders>
            <w:shd w:val="clear" w:color="auto" w:fill="B6DDE8" w:themeFill="accent5" w:themeFillTint="66"/>
            <w:vAlign w:val="center"/>
          </w:tcPr>
          <w:p w14:paraId="1373D21D"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2.04%</w:t>
            </w:r>
          </w:p>
        </w:tc>
        <w:tc>
          <w:tcPr>
            <w:tcW w:w="992" w:type="dxa"/>
            <w:tcBorders>
              <w:bottom w:val="single" w:sz="8" w:space="0" w:color="auto"/>
            </w:tcBorders>
            <w:shd w:val="clear" w:color="auto" w:fill="B6DDE8" w:themeFill="accent5" w:themeFillTint="66"/>
          </w:tcPr>
          <w:p w14:paraId="5D5067FE" w14:textId="77777777" w:rsidR="00937BAD" w:rsidRPr="00140CAE" w:rsidRDefault="00937BAD"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9.5%</w:t>
            </w:r>
          </w:p>
        </w:tc>
        <w:tc>
          <w:tcPr>
            <w:tcW w:w="1339" w:type="dxa"/>
            <w:tcBorders>
              <w:bottom w:val="single" w:sz="8" w:space="0" w:color="auto"/>
            </w:tcBorders>
            <w:shd w:val="clear" w:color="auto" w:fill="B6DDE8" w:themeFill="accent5" w:themeFillTint="66"/>
          </w:tcPr>
          <w:p w14:paraId="70B263B9" w14:textId="77777777" w:rsidR="00937BAD" w:rsidRPr="00140CAE" w:rsidRDefault="00734E7D" w:rsidP="00C753C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iCs/>
              </w:rPr>
              <w:t>5.0</w:t>
            </w:r>
            <w:r w:rsidR="00937BAD" w:rsidRPr="00140CAE">
              <w:rPr>
                <w:rFonts w:ascii="Arial Narrow" w:hAnsi="Arial Narrow"/>
                <w:iCs/>
              </w:rPr>
              <w:t>%</w:t>
            </w:r>
          </w:p>
        </w:tc>
        <w:tc>
          <w:tcPr>
            <w:tcW w:w="992" w:type="dxa"/>
            <w:tcBorders>
              <w:bottom w:val="single" w:sz="8" w:space="0" w:color="auto"/>
              <w:right w:val="single" w:sz="8" w:space="0" w:color="auto"/>
            </w:tcBorders>
            <w:shd w:val="clear" w:color="auto" w:fill="B6DDE8" w:themeFill="accent5" w:themeFillTint="66"/>
            <w:vAlign w:val="center"/>
          </w:tcPr>
          <w:p w14:paraId="06A891FE" w14:textId="77777777" w:rsidR="00937BAD" w:rsidRPr="00140CAE" w:rsidRDefault="009475E1" w:rsidP="00186D7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iCs/>
              </w:rPr>
            </w:pPr>
            <w:r w:rsidRPr="00140CAE">
              <w:rPr>
                <w:rFonts w:ascii="Arial Narrow" w:hAnsi="Arial Narrow" w:cs="Arial"/>
                <w:iCs/>
                <w:noProof/>
                <w:szCs w:val="24"/>
                <w:lang w:eastAsia="en-AU"/>
              </w:rPr>
              <mc:AlternateContent>
                <mc:Choice Requires="wps">
                  <w:drawing>
                    <wp:anchor distT="0" distB="0" distL="114300" distR="114300" simplePos="0" relativeHeight="251688960" behindDoc="0" locked="0" layoutInCell="1" allowOverlap="1" wp14:anchorId="336B2DEE" wp14:editId="31CDC21A">
                      <wp:simplePos x="0" y="0"/>
                      <wp:positionH relativeFrom="column">
                        <wp:posOffset>107315</wp:posOffset>
                      </wp:positionH>
                      <wp:positionV relativeFrom="paragraph">
                        <wp:posOffset>61595</wp:posOffset>
                      </wp:positionV>
                      <wp:extent cx="179705" cy="179705"/>
                      <wp:effectExtent l="0" t="0" r="10795" b="10795"/>
                      <wp:wrapNone/>
                      <wp:docPr id="28" name="Flowchart: Connector 2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6494" id="Flowchart: Connector 28" o:spid="_x0000_s1026" type="#_x0000_t120" style="position:absolute;margin-left:8.45pt;margin-top:4.85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" fillcolor="#9bbb59" strokecolor="windowText" strokeweight=".5pt"/>
                  </w:pict>
                </mc:Fallback>
              </mc:AlternateContent>
            </w:r>
          </w:p>
        </w:tc>
      </w:tr>
    </w:tbl>
    <w:p w14:paraId="62328493" w14:textId="77777777" w:rsidR="00196F3B" w:rsidRPr="00140CAE" w:rsidRDefault="00196F3B" w:rsidP="0026613B">
      <w:pPr>
        <w:pStyle w:val="BodyText"/>
        <w:spacing w:after="120"/>
        <w:ind w:left="426"/>
        <w:rPr>
          <w:b/>
          <w:iCs/>
          <w:color w:val="0070C0"/>
        </w:rPr>
      </w:pPr>
    </w:p>
    <w:p w14:paraId="4714ED38" w14:textId="77777777" w:rsidR="003B2E0B" w:rsidRPr="00140CAE" w:rsidRDefault="001539FD" w:rsidP="00144B3B">
      <w:pPr>
        <w:pStyle w:val="BodyText"/>
        <w:numPr>
          <w:ilvl w:val="0"/>
          <w:numId w:val="21"/>
        </w:numPr>
        <w:ind w:left="357" w:hanging="357"/>
        <w:rPr>
          <w:b/>
          <w:iCs/>
          <w:color w:val="0070C0"/>
        </w:rPr>
      </w:pPr>
      <w:r w:rsidRPr="00140CAE">
        <w:rPr>
          <w:b/>
          <w:iCs/>
          <w:color w:val="0070C0"/>
        </w:rPr>
        <w:t>Footpaths are free from trip hazards and obstructions</w:t>
      </w:r>
      <w:r w:rsidR="00C94B80" w:rsidRPr="00140CAE">
        <w:rPr>
          <w:b/>
          <w:iCs/>
          <w:color w:val="0070C0"/>
        </w:rPr>
        <w:t xml:space="preserve"> and are an adequate width</w:t>
      </w:r>
    </w:p>
    <w:p w14:paraId="08DD53D1" w14:textId="68A263B7" w:rsidR="001539FD" w:rsidRPr="00140CAE" w:rsidRDefault="001539FD" w:rsidP="00D5155D">
      <w:pPr>
        <w:rPr>
          <w:iCs/>
        </w:rPr>
      </w:pPr>
      <w:r w:rsidRPr="00140CAE">
        <w:rPr>
          <w:iCs/>
        </w:rPr>
        <w:t>Community – Total number of C</w:t>
      </w:r>
      <w:r w:rsidR="00C51843" w:rsidRPr="00140CAE">
        <w:rPr>
          <w:iCs/>
        </w:rPr>
        <w:t>ustomer enquiries and</w:t>
      </w:r>
      <w:r w:rsidR="00A2617E">
        <w:rPr>
          <w:iCs/>
        </w:rPr>
        <w:t>-</w:t>
      </w:r>
      <w:r w:rsidR="00C51843" w:rsidRPr="00140CAE">
        <w:rPr>
          <w:iCs/>
        </w:rPr>
        <w:t>or</w:t>
      </w:r>
      <w:r w:rsidRPr="00140CAE">
        <w:rPr>
          <w:iCs/>
        </w:rPr>
        <w:t xml:space="preserve"> requests relating to footpath sweeping</w:t>
      </w:r>
    </w:p>
    <w:tbl>
      <w:tblPr>
        <w:tblW w:w="5000" w:type="pct"/>
        <w:tblBorders>
          <w:top w:val="single" w:sz="8" w:space="0" w:color="auto"/>
          <w:left w:val="single" w:sz="8" w:space="0" w:color="auto"/>
          <w:bottom w:val="single" w:sz="8" w:space="0" w:color="auto"/>
          <w:right w:val="single" w:sz="8" w:space="0" w:color="auto"/>
          <w:insideH w:val="single" w:sz="8" w:space="0" w:color="FFFFFF"/>
          <w:insideV w:val="single" w:sz="8" w:space="0" w:color="FFFFFF"/>
        </w:tblBorders>
        <w:tblLook w:val="04A0" w:firstRow="1" w:lastRow="0" w:firstColumn="1" w:lastColumn="0" w:noHBand="0" w:noVBand="1"/>
      </w:tblPr>
      <w:tblGrid>
        <w:gridCol w:w="1617"/>
        <w:gridCol w:w="1275"/>
        <w:gridCol w:w="1274"/>
        <w:gridCol w:w="1274"/>
        <w:gridCol w:w="1274"/>
        <w:gridCol w:w="1274"/>
        <w:gridCol w:w="1255"/>
      </w:tblGrid>
      <w:tr w:rsidR="00570D48" w:rsidRPr="00570D48" w14:paraId="7AD0DC27" w14:textId="77777777" w:rsidTr="00BA2B79">
        <w:trPr>
          <w:trHeight w:val="319"/>
        </w:trPr>
        <w:tc>
          <w:tcPr>
            <w:tcW w:w="873" w:type="pct"/>
            <w:tcBorders>
              <w:bottom w:val="thinThickSmallGap" w:sz="24" w:space="0" w:color="auto"/>
            </w:tcBorders>
            <w:shd w:val="clear" w:color="000000" w:fill="4BACC6"/>
            <w:vAlign w:val="center"/>
            <w:hideMark/>
          </w:tcPr>
          <w:p w14:paraId="2DE51D91" w14:textId="77777777"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Community</w:t>
            </w:r>
          </w:p>
        </w:tc>
        <w:tc>
          <w:tcPr>
            <w:tcW w:w="689" w:type="pct"/>
            <w:tcBorders>
              <w:bottom w:val="thinThickSmallGap" w:sz="24" w:space="0" w:color="auto"/>
            </w:tcBorders>
            <w:shd w:val="clear" w:color="000000" w:fill="4BACC6"/>
            <w:vAlign w:val="center"/>
            <w:hideMark/>
          </w:tcPr>
          <w:p w14:paraId="49AC16B2" w14:textId="5CCD5C4D"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2012</w:t>
            </w:r>
            <w:r w:rsidR="00A2617E">
              <w:rPr>
                <w:rFonts w:ascii="Arial Narrow" w:hAnsi="Arial Narrow"/>
                <w:color w:val="FFFFFF"/>
                <w:szCs w:val="24"/>
                <w:lang w:eastAsia="en-AU"/>
              </w:rPr>
              <w:t>-</w:t>
            </w:r>
            <w:r w:rsidRPr="00570D48">
              <w:rPr>
                <w:rFonts w:ascii="Arial Narrow" w:hAnsi="Arial Narrow"/>
                <w:color w:val="FFFFFF"/>
                <w:szCs w:val="24"/>
                <w:lang w:eastAsia="en-AU"/>
              </w:rPr>
              <w:t>13</w:t>
            </w:r>
          </w:p>
        </w:tc>
        <w:tc>
          <w:tcPr>
            <w:tcW w:w="689" w:type="pct"/>
            <w:tcBorders>
              <w:bottom w:val="thinThickSmallGap" w:sz="24" w:space="0" w:color="auto"/>
            </w:tcBorders>
            <w:shd w:val="clear" w:color="000000" w:fill="4BACC6"/>
            <w:vAlign w:val="center"/>
            <w:hideMark/>
          </w:tcPr>
          <w:p w14:paraId="69EF8E64" w14:textId="34D9B713"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2013</w:t>
            </w:r>
            <w:r w:rsidR="00A2617E">
              <w:rPr>
                <w:rFonts w:ascii="Arial Narrow" w:hAnsi="Arial Narrow"/>
                <w:color w:val="FFFFFF"/>
                <w:szCs w:val="24"/>
                <w:lang w:eastAsia="en-AU"/>
              </w:rPr>
              <w:t>-</w:t>
            </w:r>
            <w:r w:rsidRPr="00570D48">
              <w:rPr>
                <w:rFonts w:ascii="Arial Narrow" w:hAnsi="Arial Narrow"/>
                <w:color w:val="FFFFFF"/>
                <w:szCs w:val="24"/>
                <w:lang w:eastAsia="en-AU"/>
              </w:rPr>
              <w:t>14</w:t>
            </w:r>
          </w:p>
        </w:tc>
        <w:tc>
          <w:tcPr>
            <w:tcW w:w="689" w:type="pct"/>
            <w:tcBorders>
              <w:bottom w:val="thinThickSmallGap" w:sz="24" w:space="0" w:color="auto"/>
            </w:tcBorders>
            <w:shd w:val="clear" w:color="000000" w:fill="4BACC6"/>
            <w:vAlign w:val="center"/>
            <w:hideMark/>
          </w:tcPr>
          <w:p w14:paraId="26368977" w14:textId="0580444A"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2016</w:t>
            </w:r>
            <w:r w:rsidR="00A2617E">
              <w:rPr>
                <w:rFonts w:ascii="Arial Narrow" w:hAnsi="Arial Narrow"/>
                <w:color w:val="FFFFFF"/>
                <w:szCs w:val="24"/>
                <w:lang w:eastAsia="en-AU"/>
              </w:rPr>
              <w:t>-</w:t>
            </w:r>
            <w:r w:rsidRPr="00570D48">
              <w:rPr>
                <w:rFonts w:ascii="Arial Narrow" w:hAnsi="Arial Narrow"/>
                <w:color w:val="FFFFFF"/>
                <w:szCs w:val="24"/>
                <w:lang w:eastAsia="en-AU"/>
              </w:rPr>
              <w:t>17</w:t>
            </w:r>
          </w:p>
        </w:tc>
        <w:tc>
          <w:tcPr>
            <w:tcW w:w="689" w:type="pct"/>
            <w:tcBorders>
              <w:bottom w:val="thinThickSmallGap" w:sz="24" w:space="0" w:color="auto"/>
            </w:tcBorders>
            <w:shd w:val="clear" w:color="000000" w:fill="4BACC6"/>
            <w:vAlign w:val="center"/>
            <w:hideMark/>
          </w:tcPr>
          <w:p w14:paraId="15446CBB" w14:textId="3AFA9D37"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2017</w:t>
            </w:r>
            <w:r w:rsidR="00A2617E">
              <w:rPr>
                <w:rFonts w:ascii="Arial Narrow" w:hAnsi="Arial Narrow"/>
                <w:color w:val="FFFFFF"/>
                <w:szCs w:val="24"/>
                <w:lang w:eastAsia="en-AU"/>
              </w:rPr>
              <w:t>-</w:t>
            </w:r>
            <w:r w:rsidRPr="00570D48">
              <w:rPr>
                <w:rFonts w:ascii="Arial Narrow" w:hAnsi="Arial Narrow"/>
                <w:color w:val="FFFFFF"/>
                <w:szCs w:val="24"/>
                <w:lang w:eastAsia="en-AU"/>
              </w:rPr>
              <w:t>18</w:t>
            </w:r>
          </w:p>
        </w:tc>
        <w:tc>
          <w:tcPr>
            <w:tcW w:w="689" w:type="pct"/>
            <w:tcBorders>
              <w:bottom w:val="thinThickSmallGap" w:sz="24" w:space="0" w:color="auto"/>
            </w:tcBorders>
            <w:shd w:val="clear" w:color="000000" w:fill="4BACC6"/>
            <w:vAlign w:val="center"/>
            <w:hideMark/>
          </w:tcPr>
          <w:p w14:paraId="7D0BF4E2" w14:textId="0994F97C" w:rsidR="00570D48" w:rsidRPr="00570D48" w:rsidRDefault="00570D48" w:rsidP="001C4D0F">
            <w:pPr>
              <w:spacing w:after="0"/>
              <w:jc w:val="center"/>
              <w:rPr>
                <w:rFonts w:ascii="Arial Narrow" w:hAnsi="Arial Narrow"/>
                <w:color w:val="FFFFFF"/>
                <w:szCs w:val="24"/>
                <w:lang w:eastAsia="en-AU"/>
              </w:rPr>
            </w:pPr>
            <w:r w:rsidRPr="00570D48">
              <w:rPr>
                <w:rFonts w:ascii="Arial Narrow" w:hAnsi="Arial Narrow"/>
                <w:color w:val="FFFFFF"/>
                <w:szCs w:val="24"/>
                <w:lang w:eastAsia="en-AU"/>
              </w:rPr>
              <w:t>201</w:t>
            </w:r>
            <w:r w:rsidR="001C4D0F">
              <w:rPr>
                <w:rFonts w:ascii="Arial Narrow" w:hAnsi="Arial Narrow"/>
                <w:color w:val="FFFFFF"/>
                <w:szCs w:val="24"/>
                <w:lang w:eastAsia="en-AU"/>
              </w:rPr>
              <w:t>9</w:t>
            </w:r>
            <w:r w:rsidR="00A2617E">
              <w:rPr>
                <w:rFonts w:ascii="Arial Narrow" w:hAnsi="Arial Narrow"/>
                <w:color w:val="FFFFFF"/>
                <w:szCs w:val="24"/>
                <w:lang w:eastAsia="en-AU"/>
              </w:rPr>
              <w:t>-</w:t>
            </w:r>
            <w:r w:rsidR="001C4D0F">
              <w:rPr>
                <w:rFonts w:ascii="Arial Narrow" w:hAnsi="Arial Narrow"/>
                <w:color w:val="FFFFFF"/>
                <w:szCs w:val="24"/>
                <w:lang w:eastAsia="en-AU"/>
              </w:rPr>
              <w:t>20</w:t>
            </w:r>
          </w:p>
        </w:tc>
        <w:tc>
          <w:tcPr>
            <w:tcW w:w="679" w:type="pct"/>
            <w:tcBorders>
              <w:bottom w:val="thinThickSmallGap" w:sz="24" w:space="0" w:color="auto"/>
            </w:tcBorders>
            <w:shd w:val="clear" w:color="000000" w:fill="4BACC6"/>
            <w:vAlign w:val="center"/>
            <w:hideMark/>
          </w:tcPr>
          <w:p w14:paraId="4EBE6FB9" w14:textId="77777777"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Status</w:t>
            </w:r>
          </w:p>
        </w:tc>
      </w:tr>
      <w:tr w:rsidR="00570D48" w:rsidRPr="00570D48" w14:paraId="3B30BBE6" w14:textId="77777777" w:rsidTr="00BA2B79">
        <w:trPr>
          <w:trHeight w:val="319"/>
        </w:trPr>
        <w:tc>
          <w:tcPr>
            <w:tcW w:w="873" w:type="pct"/>
            <w:tcBorders>
              <w:top w:val="thinThickSmallGap" w:sz="24" w:space="0" w:color="auto"/>
              <w:bottom w:val="single" w:sz="8" w:space="0" w:color="auto"/>
              <w:right w:val="thinThickSmallGap" w:sz="24" w:space="0" w:color="auto"/>
            </w:tcBorders>
            <w:shd w:val="clear" w:color="000000" w:fill="4BACC6"/>
            <w:vAlign w:val="center"/>
            <w:hideMark/>
          </w:tcPr>
          <w:p w14:paraId="399ABD1A" w14:textId="77777777" w:rsidR="00570D48" w:rsidRPr="00570D48" w:rsidRDefault="00570D48" w:rsidP="00570D48">
            <w:pPr>
              <w:spacing w:after="0"/>
              <w:jc w:val="center"/>
              <w:rPr>
                <w:rFonts w:ascii="Arial Narrow" w:hAnsi="Arial Narrow"/>
                <w:color w:val="FFFFFF"/>
                <w:szCs w:val="24"/>
                <w:lang w:eastAsia="en-AU"/>
              </w:rPr>
            </w:pPr>
            <w:r w:rsidRPr="00570D48">
              <w:rPr>
                <w:rFonts w:ascii="Arial Narrow" w:hAnsi="Arial Narrow"/>
                <w:color w:val="FFFFFF"/>
                <w:szCs w:val="24"/>
                <w:lang w:eastAsia="en-AU"/>
              </w:rPr>
              <w:t>Total</w:t>
            </w:r>
          </w:p>
        </w:tc>
        <w:tc>
          <w:tcPr>
            <w:tcW w:w="689" w:type="pct"/>
            <w:tcBorders>
              <w:top w:val="thinThickSmallGap" w:sz="24" w:space="0" w:color="auto"/>
              <w:left w:val="thinThickSmallGap" w:sz="24" w:space="0" w:color="auto"/>
              <w:bottom w:val="single" w:sz="8" w:space="0" w:color="auto"/>
            </w:tcBorders>
            <w:shd w:val="clear" w:color="000000" w:fill="B6DDE8"/>
            <w:vAlign w:val="center"/>
            <w:hideMark/>
          </w:tcPr>
          <w:p w14:paraId="00556EE2" w14:textId="77777777" w:rsidR="00570D48" w:rsidRPr="00570D48" w:rsidRDefault="00570D48" w:rsidP="00570D48">
            <w:pPr>
              <w:spacing w:after="0"/>
              <w:jc w:val="center"/>
              <w:rPr>
                <w:rFonts w:ascii="Arial Narrow" w:hAnsi="Arial Narrow"/>
                <w:color w:val="000000"/>
                <w:szCs w:val="24"/>
                <w:lang w:eastAsia="en-AU"/>
              </w:rPr>
            </w:pPr>
            <w:r w:rsidRPr="00570D48">
              <w:rPr>
                <w:rFonts w:ascii="Arial Narrow" w:hAnsi="Arial Narrow"/>
                <w:color w:val="000000"/>
                <w:szCs w:val="24"/>
                <w:lang w:eastAsia="en-AU"/>
              </w:rPr>
              <w:t>50</w:t>
            </w:r>
          </w:p>
        </w:tc>
        <w:tc>
          <w:tcPr>
            <w:tcW w:w="689" w:type="pct"/>
            <w:tcBorders>
              <w:top w:val="thinThickSmallGap" w:sz="24" w:space="0" w:color="auto"/>
              <w:bottom w:val="single" w:sz="8" w:space="0" w:color="auto"/>
            </w:tcBorders>
            <w:shd w:val="clear" w:color="000000" w:fill="B6DDE8"/>
            <w:vAlign w:val="center"/>
            <w:hideMark/>
          </w:tcPr>
          <w:p w14:paraId="688B7ECF" w14:textId="77777777" w:rsidR="00570D48" w:rsidRPr="00570D48" w:rsidRDefault="00570D48" w:rsidP="00570D48">
            <w:pPr>
              <w:spacing w:after="0"/>
              <w:jc w:val="center"/>
              <w:rPr>
                <w:rFonts w:ascii="Arial Narrow" w:hAnsi="Arial Narrow"/>
                <w:color w:val="000000"/>
                <w:szCs w:val="24"/>
                <w:lang w:eastAsia="en-AU"/>
              </w:rPr>
            </w:pPr>
            <w:r w:rsidRPr="00570D48">
              <w:rPr>
                <w:rFonts w:ascii="Arial Narrow" w:hAnsi="Arial Narrow"/>
                <w:noProof/>
                <w:color w:val="000000"/>
                <w:szCs w:val="24"/>
                <w:lang w:eastAsia="en-AU"/>
              </w:rPr>
              <w:t>58</w:t>
            </w:r>
          </w:p>
        </w:tc>
        <w:tc>
          <w:tcPr>
            <w:tcW w:w="689" w:type="pct"/>
            <w:tcBorders>
              <w:top w:val="thinThickSmallGap" w:sz="24" w:space="0" w:color="auto"/>
              <w:bottom w:val="single" w:sz="8" w:space="0" w:color="auto"/>
            </w:tcBorders>
            <w:shd w:val="clear" w:color="000000" w:fill="B6DDE8"/>
            <w:vAlign w:val="center"/>
            <w:hideMark/>
          </w:tcPr>
          <w:p w14:paraId="4A8CB992" w14:textId="77777777" w:rsidR="00570D48" w:rsidRPr="00570D48" w:rsidRDefault="00570D48" w:rsidP="00570D48">
            <w:pPr>
              <w:spacing w:after="0"/>
              <w:jc w:val="center"/>
              <w:rPr>
                <w:rFonts w:ascii="Arial Narrow" w:hAnsi="Arial Narrow"/>
                <w:color w:val="000000"/>
                <w:szCs w:val="24"/>
                <w:lang w:eastAsia="en-AU"/>
              </w:rPr>
            </w:pPr>
            <w:r w:rsidRPr="00570D48">
              <w:rPr>
                <w:rFonts w:ascii="Arial Narrow" w:hAnsi="Arial Narrow"/>
                <w:noProof/>
                <w:color w:val="000000"/>
                <w:szCs w:val="24"/>
                <w:lang w:eastAsia="en-AU"/>
              </w:rPr>
              <w:t>68</w:t>
            </w:r>
          </w:p>
        </w:tc>
        <w:tc>
          <w:tcPr>
            <w:tcW w:w="689" w:type="pct"/>
            <w:tcBorders>
              <w:top w:val="thinThickSmallGap" w:sz="24" w:space="0" w:color="auto"/>
              <w:bottom w:val="single" w:sz="8" w:space="0" w:color="auto"/>
            </w:tcBorders>
            <w:shd w:val="clear" w:color="000000" w:fill="B6DDE8"/>
            <w:vAlign w:val="center"/>
            <w:hideMark/>
          </w:tcPr>
          <w:p w14:paraId="13B7ED42" w14:textId="77777777" w:rsidR="00570D48" w:rsidRPr="00570D48" w:rsidRDefault="00570D48" w:rsidP="00570D48">
            <w:pPr>
              <w:spacing w:after="0"/>
              <w:jc w:val="center"/>
              <w:rPr>
                <w:rFonts w:ascii="Arial Narrow" w:hAnsi="Arial Narrow"/>
                <w:color w:val="000000"/>
                <w:szCs w:val="24"/>
                <w:lang w:eastAsia="en-AU"/>
              </w:rPr>
            </w:pPr>
            <w:r w:rsidRPr="00570D48">
              <w:rPr>
                <w:rFonts w:ascii="Arial Narrow" w:hAnsi="Arial Narrow"/>
                <w:color w:val="000000"/>
                <w:szCs w:val="24"/>
                <w:lang w:eastAsia="en-AU"/>
              </w:rPr>
              <w:t>70</w:t>
            </w:r>
          </w:p>
        </w:tc>
        <w:tc>
          <w:tcPr>
            <w:tcW w:w="689" w:type="pct"/>
            <w:tcBorders>
              <w:top w:val="thinThickSmallGap" w:sz="24" w:space="0" w:color="auto"/>
              <w:bottom w:val="single" w:sz="8" w:space="0" w:color="auto"/>
            </w:tcBorders>
            <w:shd w:val="clear" w:color="000000" w:fill="B6DDE8"/>
            <w:vAlign w:val="center"/>
            <w:hideMark/>
          </w:tcPr>
          <w:p w14:paraId="1215C0F1" w14:textId="77777777" w:rsidR="00570D48" w:rsidRPr="00570D48" w:rsidRDefault="001C4D0F" w:rsidP="00570D48">
            <w:pPr>
              <w:spacing w:after="0"/>
              <w:jc w:val="center"/>
              <w:rPr>
                <w:rFonts w:ascii="Arial Narrow" w:hAnsi="Arial Narrow"/>
                <w:color w:val="000000"/>
                <w:szCs w:val="24"/>
                <w:lang w:eastAsia="en-AU"/>
              </w:rPr>
            </w:pPr>
            <w:r>
              <w:rPr>
                <w:rFonts w:ascii="Arial Narrow" w:hAnsi="Arial Narrow"/>
                <w:color w:val="000000"/>
                <w:szCs w:val="24"/>
                <w:lang w:eastAsia="en-AU"/>
              </w:rPr>
              <w:t>100</w:t>
            </w:r>
          </w:p>
        </w:tc>
        <w:tc>
          <w:tcPr>
            <w:tcW w:w="679" w:type="pct"/>
            <w:tcBorders>
              <w:top w:val="thinThickSmallGap" w:sz="24" w:space="0" w:color="auto"/>
              <w:bottom w:val="single" w:sz="8" w:space="0" w:color="auto"/>
            </w:tcBorders>
            <w:shd w:val="clear" w:color="000000" w:fill="B6DDE8"/>
            <w:vAlign w:val="center"/>
            <w:hideMark/>
          </w:tcPr>
          <w:p w14:paraId="6797875C" w14:textId="77777777" w:rsidR="00570D48" w:rsidRPr="00570D48" w:rsidRDefault="00570D48" w:rsidP="00570D48">
            <w:pPr>
              <w:spacing w:after="0"/>
              <w:jc w:val="left"/>
              <w:rPr>
                <w:rFonts w:ascii="Arial Narrow" w:hAnsi="Arial Narrow"/>
                <w:color w:val="000000"/>
                <w:szCs w:val="24"/>
                <w:lang w:eastAsia="en-AU"/>
              </w:rPr>
            </w:pPr>
            <w:r>
              <w:rPr>
                <w:rFonts w:ascii="Arial Narrow" w:hAnsi="Arial Narrow"/>
                <w:noProof/>
                <w:color w:val="000000"/>
                <w:szCs w:val="24"/>
                <w:lang w:eastAsia="en-AU"/>
              </w:rPr>
              <mc:AlternateContent>
                <mc:Choice Requires="wps">
                  <w:drawing>
                    <wp:anchor distT="0" distB="0" distL="114300" distR="114300" simplePos="0" relativeHeight="251632640" behindDoc="0" locked="0" layoutInCell="1" allowOverlap="1" wp14:anchorId="3D9C3397" wp14:editId="2C740106">
                      <wp:simplePos x="0" y="0"/>
                      <wp:positionH relativeFrom="column">
                        <wp:posOffset>257175</wp:posOffset>
                      </wp:positionH>
                      <wp:positionV relativeFrom="paragraph">
                        <wp:posOffset>9525</wp:posOffset>
                      </wp:positionV>
                      <wp:extent cx="180975" cy="161925"/>
                      <wp:effectExtent l="0" t="0" r="28575" b="28575"/>
                      <wp:wrapNone/>
                      <wp:docPr id="471" name="Flowchart: Connector 471"/>
                      <wp:cNvGraphicFramePr/>
                      <a:graphic xmlns:a="http://schemas.openxmlformats.org/drawingml/2006/main">
                        <a:graphicData uri="http://schemas.microsoft.com/office/word/2010/wordprocessingShape">
                          <wps:wsp>
                            <wps:cNvSpPr/>
                            <wps:spPr>
                              <a:xfrm>
                                <a:off x="0" y="0"/>
                                <a:ext cx="171450" cy="152400"/>
                              </a:xfrm>
                              <a:prstGeom prst="flowChartConnector">
                                <a:avLst/>
                              </a:prstGeom>
                              <a:solidFill>
                                <a:srgbClr val="FF0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00215" id="Flowchart: Connector 471" o:spid="_x0000_s1026" type="#_x0000_t120" style="position:absolute;margin-left:20.25pt;margin-top:.75pt;width:14.25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" fillcolor="red" strokecolor="windowText" strokeweight=".5pt"/>
                  </w:pict>
                </mc:Fallback>
              </mc:AlternateContent>
            </w:r>
          </w:p>
        </w:tc>
      </w:tr>
    </w:tbl>
    <w:p w14:paraId="57A53A79" w14:textId="77777777" w:rsidR="00951376" w:rsidRDefault="00951376" w:rsidP="00951376"/>
    <w:p w14:paraId="78C11E94" w14:textId="77777777" w:rsidR="00E12743" w:rsidRPr="00140CAE" w:rsidRDefault="000D542A" w:rsidP="00951376">
      <w:r w:rsidRPr="00140CAE">
        <w:lastRenderedPageBreak/>
        <w:t>The footpath sweeping schedule is currently being revised as at present only footpaths 2m or wider are swept on a regular basis.</w:t>
      </w:r>
    </w:p>
    <w:p w14:paraId="23BEFFD0" w14:textId="77777777" w:rsidR="001539FD" w:rsidRPr="00140CAE" w:rsidRDefault="001539FD" w:rsidP="00951376">
      <w:r w:rsidRPr="00140CAE">
        <w:t>Technical –</w:t>
      </w:r>
      <w:r w:rsidR="000D542A" w:rsidRPr="00140CAE">
        <w:t xml:space="preserve"> </w:t>
      </w:r>
      <w:r w:rsidR="005C6116" w:rsidRPr="00140CAE">
        <w:t xml:space="preserve">Percentage of footpaths </w:t>
      </w:r>
      <w:r w:rsidR="000D542A" w:rsidRPr="00140CAE">
        <w:t xml:space="preserve">(by length) </w:t>
      </w:r>
      <w:r w:rsidR="005C6116" w:rsidRPr="00140CAE">
        <w:t>less than 1.5m wide.</w:t>
      </w:r>
    </w:p>
    <w:tbl>
      <w:tblPr>
        <w:tblW w:w="5000" w:type="pct"/>
        <w:tblLook w:val="04A0" w:firstRow="1" w:lastRow="0" w:firstColumn="1" w:lastColumn="0" w:noHBand="0" w:noVBand="1"/>
      </w:tblPr>
      <w:tblGrid>
        <w:gridCol w:w="1335"/>
        <w:gridCol w:w="1128"/>
        <w:gridCol w:w="1135"/>
        <w:gridCol w:w="1135"/>
        <w:gridCol w:w="1135"/>
        <w:gridCol w:w="1129"/>
        <w:gridCol w:w="1129"/>
        <w:gridCol w:w="1117"/>
      </w:tblGrid>
      <w:tr w:rsidR="00B13EFE" w:rsidRPr="00140CAE" w14:paraId="28D5C649" w14:textId="77777777" w:rsidTr="00E12743">
        <w:trPr>
          <w:trHeight w:val="330"/>
        </w:trPr>
        <w:tc>
          <w:tcPr>
            <w:tcW w:w="722" w:type="pct"/>
            <w:vMerge w:val="restart"/>
            <w:tcBorders>
              <w:top w:val="single" w:sz="8" w:space="0" w:color="auto"/>
              <w:left w:val="single" w:sz="8" w:space="0" w:color="auto"/>
              <w:bottom w:val="single" w:sz="12" w:space="0" w:color="FFFFFF"/>
              <w:right w:val="single" w:sz="8" w:space="0" w:color="FFFFFF"/>
            </w:tcBorders>
            <w:shd w:val="clear" w:color="000000" w:fill="4BACC6"/>
            <w:vAlign w:val="center"/>
            <w:hideMark/>
          </w:tcPr>
          <w:p w14:paraId="7168A5B4"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Technical</w:t>
            </w:r>
          </w:p>
        </w:tc>
        <w:tc>
          <w:tcPr>
            <w:tcW w:w="610" w:type="pct"/>
            <w:vMerge w:val="restart"/>
            <w:tcBorders>
              <w:top w:val="single" w:sz="8" w:space="0" w:color="auto"/>
              <w:left w:val="single" w:sz="8" w:space="0" w:color="FFFFFF"/>
              <w:bottom w:val="single" w:sz="12" w:space="0" w:color="FFFFFF"/>
              <w:right w:val="single" w:sz="8" w:space="0" w:color="FFFFFF"/>
            </w:tcBorders>
            <w:shd w:val="clear" w:color="000000" w:fill="4BACC6"/>
            <w:vAlign w:val="center"/>
            <w:hideMark/>
          </w:tcPr>
          <w:p w14:paraId="56A9CDBF"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 of total length</w:t>
            </w:r>
          </w:p>
        </w:tc>
        <w:tc>
          <w:tcPr>
            <w:tcW w:w="3064" w:type="pct"/>
            <w:gridSpan w:val="5"/>
            <w:tcBorders>
              <w:top w:val="single" w:sz="8" w:space="0" w:color="auto"/>
              <w:left w:val="nil"/>
              <w:bottom w:val="single" w:sz="8" w:space="0" w:color="FFFFFF"/>
              <w:right w:val="single" w:sz="8" w:space="0" w:color="FFFFFF"/>
            </w:tcBorders>
            <w:shd w:val="clear" w:color="000000" w:fill="4BACC6"/>
            <w:vAlign w:val="center"/>
            <w:hideMark/>
          </w:tcPr>
          <w:p w14:paraId="4B46ECD5"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 of total length less than 1.5m wide</w:t>
            </w:r>
          </w:p>
        </w:tc>
        <w:tc>
          <w:tcPr>
            <w:tcW w:w="604" w:type="pct"/>
            <w:vMerge w:val="restart"/>
            <w:tcBorders>
              <w:top w:val="single" w:sz="8" w:space="0" w:color="auto"/>
              <w:left w:val="single" w:sz="8" w:space="0" w:color="FFFFFF"/>
              <w:bottom w:val="single" w:sz="12" w:space="0" w:color="FFFFFF"/>
              <w:right w:val="single" w:sz="8" w:space="0" w:color="auto"/>
            </w:tcBorders>
            <w:shd w:val="clear" w:color="000000" w:fill="4BACC6"/>
            <w:vAlign w:val="center"/>
            <w:hideMark/>
          </w:tcPr>
          <w:p w14:paraId="7AF8760D"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Status</w:t>
            </w:r>
          </w:p>
        </w:tc>
      </w:tr>
      <w:tr w:rsidR="00B13EFE" w:rsidRPr="00140CAE" w14:paraId="37F28AD7" w14:textId="77777777" w:rsidTr="00BA2B79">
        <w:trPr>
          <w:trHeight w:val="330"/>
        </w:trPr>
        <w:tc>
          <w:tcPr>
            <w:tcW w:w="722" w:type="pct"/>
            <w:vMerge/>
            <w:tcBorders>
              <w:top w:val="single" w:sz="8" w:space="0" w:color="FFFFFF"/>
              <w:left w:val="single" w:sz="8" w:space="0" w:color="auto"/>
              <w:bottom w:val="thinThickSmallGap" w:sz="24" w:space="0" w:color="auto"/>
              <w:right w:val="single" w:sz="8" w:space="0" w:color="FFFFFF"/>
            </w:tcBorders>
            <w:vAlign w:val="center"/>
            <w:hideMark/>
          </w:tcPr>
          <w:p w14:paraId="2C24B836" w14:textId="77777777" w:rsidR="00B13EFE" w:rsidRPr="00140CAE" w:rsidRDefault="00B13EFE" w:rsidP="00B13EFE">
            <w:pPr>
              <w:spacing w:after="0"/>
              <w:jc w:val="left"/>
              <w:rPr>
                <w:rFonts w:ascii="Arial Narrow" w:hAnsi="Arial Narrow"/>
                <w:b/>
                <w:bCs/>
                <w:color w:val="FFFFFF"/>
                <w:szCs w:val="24"/>
                <w:lang w:eastAsia="en-AU"/>
              </w:rPr>
            </w:pPr>
          </w:p>
        </w:tc>
        <w:tc>
          <w:tcPr>
            <w:tcW w:w="610" w:type="pct"/>
            <w:vMerge/>
            <w:tcBorders>
              <w:top w:val="single" w:sz="8" w:space="0" w:color="FFFFFF"/>
              <w:left w:val="single" w:sz="8" w:space="0" w:color="FFFFFF"/>
              <w:bottom w:val="thinThickSmallGap" w:sz="24" w:space="0" w:color="auto"/>
              <w:right w:val="single" w:sz="8" w:space="0" w:color="FFFFFF"/>
            </w:tcBorders>
            <w:vAlign w:val="center"/>
            <w:hideMark/>
          </w:tcPr>
          <w:p w14:paraId="17BBB35B" w14:textId="77777777" w:rsidR="00B13EFE" w:rsidRPr="00140CAE" w:rsidRDefault="00B13EFE" w:rsidP="00B13EFE">
            <w:pPr>
              <w:spacing w:after="0"/>
              <w:jc w:val="left"/>
              <w:rPr>
                <w:rFonts w:ascii="Arial Narrow" w:hAnsi="Arial Narrow"/>
                <w:b/>
                <w:bCs/>
                <w:color w:val="FFFFFF"/>
                <w:szCs w:val="24"/>
                <w:lang w:eastAsia="en-AU"/>
              </w:rPr>
            </w:pPr>
          </w:p>
        </w:tc>
        <w:tc>
          <w:tcPr>
            <w:tcW w:w="614" w:type="pct"/>
            <w:tcBorders>
              <w:top w:val="nil"/>
              <w:left w:val="nil"/>
              <w:bottom w:val="thinThickSmallGap" w:sz="24" w:space="0" w:color="auto"/>
              <w:right w:val="single" w:sz="8" w:space="0" w:color="FFFFFF"/>
            </w:tcBorders>
            <w:shd w:val="clear" w:color="000000" w:fill="4BACC6"/>
            <w:vAlign w:val="center"/>
            <w:hideMark/>
          </w:tcPr>
          <w:p w14:paraId="16DC6554" w14:textId="6248575E" w:rsidR="00B13EFE" w:rsidRPr="00140CAE" w:rsidRDefault="00B13EFE" w:rsidP="00B13EFE">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2011</w:t>
            </w:r>
            <w:r w:rsidR="00A2617E">
              <w:rPr>
                <w:rFonts w:ascii="Arial Narrow" w:hAnsi="Arial Narrow"/>
                <w:color w:val="FFFFFF"/>
                <w:szCs w:val="24"/>
                <w:lang w:eastAsia="en-AU"/>
              </w:rPr>
              <w:t>-</w:t>
            </w:r>
            <w:r w:rsidRPr="00140CAE">
              <w:rPr>
                <w:rFonts w:ascii="Arial Narrow" w:hAnsi="Arial Narrow"/>
                <w:color w:val="FFFFFF"/>
                <w:szCs w:val="24"/>
                <w:lang w:eastAsia="en-AU"/>
              </w:rPr>
              <w:t>12</w:t>
            </w:r>
          </w:p>
        </w:tc>
        <w:tc>
          <w:tcPr>
            <w:tcW w:w="614" w:type="pct"/>
            <w:tcBorders>
              <w:top w:val="nil"/>
              <w:left w:val="nil"/>
              <w:bottom w:val="thinThickSmallGap" w:sz="24" w:space="0" w:color="auto"/>
              <w:right w:val="single" w:sz="8" w:space="0" w:color="FFFFFF"/>
            </w:tcBorders>
            <w:shd w:val="clear" w:color="000000" w:fill="4BACC6"/>
            <w:vAlign w:val="center"/>
            <w:hideMark/>
          </w:tcPr>
          <w:p w14:paraId="202814FE" w14:textId="733732A5" w:rsidR="00B13EFE" w:rsidRPr="00140CAE" w:rsidRDefault="00B13EFE" w:rsidP="00B13EFE">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2012</w:t>
            </w:r>
            <w:r w:rsidR="00A2617E">
              <w:rPr>
                <w:rFonts w:ascii="Arial Narrow" w:hAnsi="Arial Narrow"/>
                <w:color w:val="FFFFFF"/>
                <w:szCs w:val="24"/>
                <w:lang w:eastAsia="en-AU"/>
              </w:rPr>
              <w:t>-</w:t>
            </w:r>
            <w:r w:rsidRPr="00140CAE">
              <w:rPr>
                <w:rFonts w:ascii="Arial Narrow" w:hAnsi="Arial Narrow"/>
                <w:color w:val="FFFFFF"/>
                <w:szCs w:val="24"/>
                <w:lang w:eastAsia="en-AU"/>
              </w:rPr>
              <w:t>13</w:t>
            </w:r>
          </w:p>
        </w:tc>
        <w:tc>
          <w:tcPr>
            <w:tcW w:w="614" w:type="pct"/>
            <w:tcBorders>
              <w:top w:val="nil"/>
              <w:left w:val="nil"/>
              <w:bottom w:val="thinThickSmallGap" w:sz="24" w:space="0" w:color="auto"/>
              <w:right w:val="single" w:sz="8" w:space="0" w:color="FFFFFF"/>
            </w:tcBorders>
            <w:shd w:val="clear" w:color="000000" w:fill="4BACC6"/>
            <w:vAlign w:val="center"/>
            <w:hideMark/>
          </w:tcPr>
          <w:p w14:paraId="3CBA2712" w14:textId="11C09DF0" w:rsidR="00B13EFE" w:rsidRPr="00140CAE" w:rsidRDefault="00B13EFE" w:rsidP="00B13EFE">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2013</w:t>
            </w:r>
            <w:r w:rsidR="00A2617E">
              <w:rPr>
                <w:rFonts w:ascii="Arial Narrow" w:hAnsi="Arial Narrow"/>
                <w:color w:val="FFFFFF"/>
                <w:szCs w:val="24"/>
                <w:lang w:eastAsia="en-AU"/>
              </w:rPr>
              <w:t>-</w:t>
            </w:r>
            <w:r w:rsidRPr="00140CAE">
              <w:rPr>
                <w:rFonts w:ascii="Arial Narrow" w:hAnsi="Arial Narrow"/>
                <w:color w:val="FFFFFF"/>
                <w:szCs w:val="24"/>
                <w:lang w:eastAsia="en-AU"/>
              </w:rPr>
              <w:t>14</w:t>
            </w:r>
          </w:p>
        </w:tc>
        <w:tc>
          <w:tcPr>
            <w:tcW w:w="611" w:type="pct"/>
            <w:tcBorders>
              <w:top w:val="nil"/>
              <w:left w:val="nil"/>
              <w:bottom w:val="thinThickSmallGap" w:sz="24" w:space="0" w:color="auto"/>
              <w:right w:val="single" w:sz="8" w:space="0" w:color="FFFFFF"/>
            </w:tcBorders>
            <w:shd w:val="clear" w:color="000000" w:fill="4BACC6"/>
            <w:vAlign w:val="center"/>
            <w:hideMark/>
          </w:tcPr>
          <w:p w14:paraId="4C79AC5D" w14:textId="06522BFD" w:rsidR="00B13EFE" w:rsidRPr="00140CAE" w:rsidRDefault="00A2617E" w:rsidP="00B13EFE">
            <w:pPr>
              <w:spacing w:after="0"/>
              <w:jc w:val="center"/>
              <w:rPr>
                <w:rFonts w:ascii="Arial Narrow" w:hAnsi="Arial Narrow"/>
                <w:color w:val="FFFFFF"/>
                <w:szCs w:val="24"/>
                <w:lang w:eastAsia="en-AU"/>
              </w:rPr>
            </w:pPr>
            <w:r>
              <w:rPr>
                <w:rFonts w:ascii="Arial Narrow" w:hAnsi="Arial Narrow"/>
                <w:color w:val="FFFFFF"/>
                <w:szCs w:val="24"/>
                <w:lang w:eastAsia="en-AU"/>
              </w:rPr>
              <w:t>20</w:t>
            </w:r>
            <w:r w:rsidR="00B13EFE" w:rsidRPr="00140CAE">
              <w:rPr>
                <w:rFonts w:ascii="Arial Narrow" w:hAnsi="Arial Narrow"/>
                <w:color w:val="FFFFFF"/>
                <w:szCs w:val="24"/>
                <w:lang w:eastAsia="en-AU"/>
              </w:rPr>
              <w:t>17</w:t>
            </w:r>
            <w:r>
              <w:rPr>
                <w:rFonts w:ascii="Arial Narrow" w:hAnsi="Arial Narrow"/>
                <w:color w:val="FFFFFF"/>
                <w:szCs w:val="24"/>
                <w:lang w:eastAsia="en-AU"/>
              </w:rPr>
              <w:t>-</w:t>
            </w:r>
            <w:r w:rsidR="00B13EFE" w:rsidRPr="00140CAE">
              <w:rPr>
                <w:rFonts w:ascii="Arial Narrow" w:hAnsi="Arial Narrow"/>
                <w:color w:val="FFFFFF"/>
                <w:szCs w:val="24"/>
                <w:lang w:eastAsia="en-AU"/>
              </w:rPr>
              <w:t>18</w:t>
            </w:r>
          </w:p>
        </w:tc>
        <w:tc>
          <w:tcPr>
            <w:tcW w:w="611" w:type="pct"/>
            <w:tcBorders>
              <w:top w:val="nil"/>
              <w:left w:val="nil"/>
              <w:bottom w:val="thinThickSmallGap" w:sz="24" w:space="0" w:color="auto"/>
              <w:right w:val="single" w:sz="8" w:space="0" w:color="FFFFFF"/>
            </w:tcBorders>
            <w:shd w:val="clear" w:color="000000" w:fill="4BACC6"/>
            <w:vAlign w:val="center"/>
            <w:hideMark/>
          </w:tcPr>
          <w:p w14:paraId="72D648EB" w14:textId="330CEACA" w:rsidR="00B13EFE" w:rsidRPr="00140CAE" w:rsidRDefault="00A2617E" w:rsidP="00803F67">
            <w:pPr>
              <w:spacing w:after="0"/>
              <w:jc w:val="center"/>
              <w:rPr>
                <w:rFonts w:ascii="Arial Narrow" w:hAnsi="Arial Narrow"/>
                <w:color w:val="FFFFFF"/>
                <w:szCs w:val="24"/>
                <w:lang w:eastAsia="en-AU"/>
              </w:rPr>
            </w:pPr>
            <w:r>
              <w:rPr>
                <w:rFonts w:ascii="Arial Narrow" w:hAnsi="Arial Narrow"/>
                <w:color w:val="FFFFFF"/>
                <w:szCs w:val="24"/>
                <w:lang w:eastAsia="en-AU"/>
              </w:rPr>
              <w:t>20</w:t>
            </w:r>
            <w:r w:rsidR="00B13EFE" w:rsidRPr="00140CAE">
              <w:rPr>
                <w:rFonts w:ascii="Arial Narrow" w:hAnsi="Arial Narrow"/>
                <w:color w:val="FFFFFF"/>
                <w:szCs w:val="24"/>
                <w:lang w:eastAsia="en-AU"/>
              </w:rPr>
              <w:t>1</w:t>
            </w:r>
            <w:r w:rsidR="00803F67" w:rsidRPr="00140CAE">
              <w:rPr>
                <w:rFonts w:ascii="Arial Narrow" w:hAnsi="Arial Narrow"/>
                <w:color w:val="FFFFFF"/>
                <w:szCs w:val="24"/>
                <w:lang w:eastAsia="en-AU"/>
              </w:rPr>
              <w:t>9</w:t>
            </w:r>
            <w:r>
              <w:rPr>
                <w:rFonts w:ascii="Arial Narrow" w:hAnsi="Arial Narrow"/>
                <w:color w:val="FFFFFF"/>
                <w:szCs w:val="24"/>
                <w:lang w:eastAsia="en-AU"/>
              </w:rPr>
              <w:t>-</w:t>
            </w:r>
            <w:r w:rsidR="00803F67" w:rsidRPr="00140CAE">
              <w:rPr>
                <w:rFonts w:ascii="Arial Narrow" w:hAnsi="Arial Narrow"/>
                <w:color w:val="FFFFFF"/>
                <w:szCs w:val="24"/>
                <w:lang w:eastAsia="en-AU"/>
              </w:rPr>
              <w:t>20</w:t>
            </w:r>
          </w:p>
        </w:tc>
        <w:tc>
          <w:tcPr>
            <w:tcW w:w="604" w:type="pct"/>
            <w:vMerge/>
            <w:tcBorders>
              <w:top w:val="single" w:sz="8" w:space="0" w:color="FFFFFF"/>
              <w:left w:val="single" w:sz="8" w:space="0" w:color="FFFFFF"/>
              <w:bottom w:val="thinThickSmallGap" w:sz="24" w:space="0" w:color="auto"/>
              <w:right w:val="single" w:sz="8" w:space="0" w:color="auto"/>
            </w:tcBorders>
            <w:vAlign w:val="center"/>
            <w:hideMark/>
          </w:tcPr>
          <w:p w14:paraId="21B8571C" w14:textId="77777777" w:rsidR="00B13EFE" w:rsidRPr="00140CAE" w:rsidRDefault="00B13EFE" w:rsidP="00B13EFE">
            <w:pPr>
              <w:spacing w:after="0"/>
              <w:jc w:val="left"/>
              <w:rPr>
                <w:rFonts w:ascii="Arial Narrow" w:hAnsi="Arial Narrow"/>
                <w:b/>
                <w:bCs/>
                <w:color w:val="FFFFFF"/>
                <w:szCs w:val="24"/>
                <w:lang w:eastAsia="en-AU"/>
              </w:rPr>
            </w:pPr>
          </w:p>
        </w:tc>
      </w:tr>
      <w:tr w:rsidR="00B13EFE" w:rsidRPr="00140CAE" w14:paraId="7D65168A" w14:textId="77777777" w:rsidTr="00BA2B79">
        <w:trPr>
          <w:trHeight w:val="345"/>
        </w:trPr>
        <w:tc>
          <w:tcPr>
            <w:tcW w:w="722" w:type="pct"/>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6EC52063"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Total</w:t>
            </w:r>
          </w:p>
        </w:tc>
        <w:tc>
          <w:tcPr>
            <w:tcW w:w="610" w:type="pct"/>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1B785E58"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 </w:t>
            </w:r>
          </w:p>
        </w:tc>
        <w:tc>
          <w:tcPr>
            <w:tcW w:w="614" w:type="pct"/>
            <w:tcBorders>
              <w:top w:val="thinThickSmallGap" w:sz="24" w:space="0" w:color="auto"/>
              <w:left w:val="nil"/>
              <w:bottom w:val="single" w:sz="8" w:space="0" w:color="FFFFFF"/>
              <w:right w:val="single" w:sz="8" w:space="0" w:color="FFFFFF"/>
            </w:tcBorders>
            <w:shd w:val="clear" w:color="000000" w:fill="B6DDE8"/>
            <w:vAlign w:val="center"/>
            <w:hideMark/>
          </w:tcPr>
          <w:p w14:paraId="73C80A7E"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11.34%</w:t>
            </w:r>
          </w:p>
        </w:tc>
        <w:tc>
          <w:tcPr>
            <w:tcW w:w="614" w:type="pct"/>
            <w:tcBorders>
              <w:top w:val="thinThickSmallGap" w:sz="24" w:space="0" w:color="auto"/>
              <w:left w:val="nil"/>
              <w:bottom w:val="single" w:sz="8" w:space="0" w:color="FFFFFF"/>
              <w:right w:val="single" w:sz="8" w:space="0" w:color="FFFFFF"/>
            </w:tcBorders>
            <w:shd w:val="clear" w:color="000000" w:fill="B6DDE8"/>
            <w:vAlign w:val="center"/>
            <w:hideMark/>
          </w:tcPr>
          <w:p w14:paraId="5C476A46"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10.92%</w:t>
            </w:r>
          </w:p>
        </w:tc>
        <w:tc>
          <w:tcPr>
            <w:tcW w:w="614" w:type="pct"/>
            <w:tcBorders>
              <w:top w:val="thinThickSmallGap" w:sz="24" w:space="0" w:color="auto"/>
              <w:left w:val="nil"/>
              <w:bottom w:val="single" w:sz="8" w:space="0" w:color="FFFFFF"/>
              <w:right w:val="single" w:sz="8" w:space="0" w:color="FFFFFF"/>
            </w:tcBorders>
            <w:shd w:val="clear" w:color="000000" w:fill="B6DDE8"/>
            <w:vAlign w:val="center"/>
            <w:hideMark/>
          </w:tcPr>
          <w:p w14:paraId="3AC4EBDA"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10.89%</w:t>
            </w:r>
          </w:p>
        </w:tc>
        <w:tc>
          <w:tcPr>
            <w:tcW w:w="611" w:type="pct"/>
            <w:tcBorders>
              <w:top w:val="thinThickSmallGap" w:sz="24" w:space="0" w:color="auto"/>
              <w:left w:val="nil"/>
              <w:bottom w:val="single" w:sz="8" w:space="0" w:color="FFFFFF"/>
              <w:right w:val="single" w:sz="8" w:space="0" w:color="FFFFFF"/>
            </w:tcBorders>
            <w:shd w:val="clear" w:color="000000" w:fill="B6DDE8"/>
            <w:vAlign w:val="center"/>
            <w:hideMark/>
          </w:tcPr>
          <w:p w14:paraId="2F98DDAB"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10.25%</w:t>
            </w:r>
          </w:p>
        </w:tc>
        <w:tc>
          <w:tcPr>
            <w:tcW w:w="611" w:type="pct"/>
            <w:tcBorders>
              <w:top w:val="thinThickSmallGap" w:sz="24" w:space="0" w:color="auto"/>
              <w:left w:val="nil"/>
              <w:bottom w:val="single" w:sz="8" w:space="0" w:color="FFFFFF"/>
              <w:right w:val="single" w:sz="8" w:space="0" w:color="FFFFFF"/>
            </w:tcBorders>
            <w:shd w:val="clear" w:color="000000" w:fill="B6DDE8"/>
            <w:vAlign w:val="center"/>
            <w:hideMark/>
          </w:tcPr>
          <w:p w14:paraId="167CA9F0" w14:textId="77777777" w:rsidR="00B13EFE" w:rsidRPr="00140CAE" w:rsidRDefault="00B13EFE" w:rsidP="00F7264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w:t>
            </w:r>
            <w:r w:rsidR="00F7264E" w:rsidRPr="00140CAE">
              <w:rPr>
                <w:rFonts w:ascii="Arial Narrow" w:hAnsi="Arial Narrow"/>
                <w:color w:val="000000"/>
                <w:szCs w:val="24"/>
                <w:lang w:eastAsia="en-AU"/>
              </w:rPr>
              <w:t>00</w:t>
            </w:r>
            <w:r w:rsidRPr="00140CAE">
              <w:rPr>
                <w:rFonts w:ascii="Arial Narrow" w:hAnsi="Arial Narrow"/>
                <w:color w:val="000000"/>
                <w:szCs w:val="24"/>
                <w:lang w:eastAsia="en-AU"/>
              </w:rPr>
              <w:t>%</w:t>
            </w:r>
          </w:p>
        </w:tc>
        <w:tc>
          <w:tcPr>
            <w:tcW w:w="604" w:type="pct"/>
            <w:tcBorders>
              <w:top w:val="thinThickSmallGap" w:sz="24" w:space="0" w:color="auto"/>
              <w:left w:val="nil"/>
              <w:bottom w:val="single" w:sz="8" w:space="0" w:color="FFFFFF"/>
              <w:right w:val="single" w:sz="8" w:space="0" w:color="auto"/>
            </w:tcBorders>
            <w:shd w:val="clear" w:color="000000" w:fill="B6DDE8"/>
            <w:vAlign w:val="center"/>
            <w:hideMark/>
          </w:tcPr>
          <w:p w14:paraId="4790143C" w14:textId="77777777" w:rsidR="00B13EFE" w:rsidRPr="00140CAE" w:rsidRDefault="0059625F" w:rsidP="00B13EFE">
            <w:pPr>
              <w:spacing w:after="0"/>
              <w:jc w:val="left"/>
              <w:rPr>
                <w:rFonts w:ascii="Arial Narrow" w:hAnsi="Arial Narrow"/>
                <w:color w:val="000000"/>
                <w:szCs w:val="24"/>
                <w:lang w:eastAsia="en-AU"/>
              </w:rPr>
            </w:pPr>
            <w:r w:rsidRPr="00140CAE">
              <w:rPr>
                <w:rFonts w:ascii="Arial Narrow" w:hAnsi="Arial Narrow"/>
                <w:noProof/>
                <w:color w:val="000000"/>
                <w:szCs w:val="24"/>
                <w:lang w:eastAsia="en-AU"/>
              </w:rPr>
              <mc:AlternateContent>
                <mc:Choice Requires="wps">
                  <w:drawing>
                    <wp:anchor distT="0" distB="0" distL="114300" distR="114300" simplePos="0" relativeHeight="251622400" behindDoc="0" locked="0" layoutInCell="1" allowOverlap="1" wp14:anchorId="7957FC7F" wp14:editId="3F7E929E">
                      <wp:simplePos x="0" y="0"/>
                      <wp:positionH relativeFrom="column">
                        <wp:posOffset>170180</wp:posOffset>
                      </wp:positionH>
                      <wp:positionV relativeFrom="paragraph">
                        <wp:posOffset>53340</wp:posOffset>
                      </wp:positionV>
                      <wp:extent cx="180975" cy="161925"/>
                      <wp:effectExtent l="0" t="0" r="28575" b="28575"/>
                      <wp:wrapNone/>
                      <wp:docPr id="470" name="Flowchart: Connector 470"/>
                      <wp:cNvGraphicFramePr/>
                      <a:graphic xmlns:a="http://schemas.openxmlformats.org/drawingml/2006/main">
                        <a:graphicData uri="http://schemas.microsoft.com/office/word/2010/wordprocessingShape">
                          <wps:wsp>
                            <wps:cNvSpPr/>
                            <wps:spPr>
                              <a:xfrm>
                                <a:off x="0" y="0"/>
                                <a:ext cx="180975" cy="161925"/>
                              </a:xfrm>
                              <a:prstGeom prst="flowChartConnector">
                                <a:avLst/>
                              </a:prstGeom>
                              <a:solidFill>
                                <a:srgbClr val="92D05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8460DB" id="Flowchart: Connector 470" o:spid="_x0000_s1026" type="#_x0000_t120" style="position:absolute;margin-left:13.4pt;margin-top:4.2pt;width:14.25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" fillcolor="#92d050" strokecolor="windowText" strokeweight=".5pt"/>
                  </w:pict>
                </mc:Fallback>
              </mc:AlternateContent>
            </w:r>
          </w:p>
        </w:tc>
      </w:tr>
      <w:tr w:rsidR="00B13EFE" w:rsidRPr="00140CAE" w14:paraId="46B02A99" w14:textId="77777777" w:rsidTr="00BA2B79">
        <w:trPr>
          <w:trHeight w:val="330"/>
        </w:trPr>
        <w:tc>
          <w:tcPr>
            <w:tcW w:w="722"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2A1E96AF"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Parks</w:t>
            </w:r>
          </w:p>
        </w:tc>
        <w:tc>
          <w:tcPr>
            <w:tcW w:w="610" w:type="pct"/>
            <w:tcBorders>
              <w:top w:val="single" w:sz="8" w:space="0" w:color="FFFFFF"/>
              <w:left w:val="thinThickSmallGap" w:sz="24" w:space="0" w:color="auto"/>
              <w:bottom w:val="single" w:sz="8" w:space="0" w:color="FFFFFF"/>
              <w:right w:val="nil"/>
            </w:tcBorders>
            <w:shd w:val="clear" w:color="000000" w:fill="DAEEF3"/>
            <w:vAlign w:val="center"/>
            <w:hideMark/>
          </w:tcPr>
          <w:p w14:paraId="72877670"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14.98%</w:t>
            </w:r>
          </w:p>
        </w:tc>
        <w:tc>
          <w:tcPr>
            <w:tcW w:w="614" w:type="pct"/>
            <w:tcBorders>
              <w:top w:val="single" w:sz="8" w:space="0" w:color="FFFFFF"/>
              <w:left w:val="single" w:sz="8" w:space="0" w:color="FFFFFF"/>
              <w:bottom w:val="single" w:sz="8" w:space="0" w:color="FFFFFF"/>
              <w:right w:val="nil"/>
            </w:tcBorders>
            <w:shd w:val="clear" w:color="000000" w:fill="DAEEF3"/>
            <w:vAlign w:val="center"/>
            <w:hideMark/>
          </w:tcPr>
          <w:p w14:paraId="51D78FBC"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0.86%</w:t>
            </w:r>
          </w:p>
        </w:tc>
        <w:tc>
          <w:tcPr>
            <w:tcW w:w="614" w:type="pct"/>
            <w:tcBorders>
              <w:top w:val="single" w:sz="8" w:space="0" w:color="FFFFFF"/>
              <w:left w:val="single" w:sz="8" w:space="0" w:color="FFFFFF"/>
              <w:bottom w:val="single" w:sz="8" w:space="0" w:color="FFFFFF"/>
              <w:right w:val="nil"/>
            </w:tcBorders>
            <w:shd w:val="clear" w:color="000000" w:fill="DAEEF3"/>
            <w:vAlign w:val="center"/>
            <w:hideMark/>
          </w:tcPr>
          <w:p w14:paraId="55B2129C"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0.80%</w:t>
            </w:r>
          </w:p>
        </w:tc>
        <w:tc>
          <w:tcPr>
            <w:tcW w:w="614" w:type="pct"/>
            <w:tcBorders>
              <w:top w:val="single" w:sz="8" w:space="0" w:color="FFFFFF"/>
              <w:left w:val="single" w:sz="8" w:space="0" w:color="FFFFFF"/>
              <w:bottom w:val="single" w:sz="8" w:space="0" w:color="FFFFFF"/>
              <w:right w:val="single" w:sz="8" w:space="0" w:color="FFFFFF"/>
            </w:tcBorders>
            <w:shd w:val="clear" w:color="000000" w:fill="DAEEF3"/>
            <w:vAlign w:val="center"/>
            <w:hideMark/>
          </w:tcPr>
          <w:p w14:paraId="2B80D96B"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0.83%</w:t>
            </w:r>
          </w:p>
        </w:tc>
        <w:tc>
          <w:tcPr>
            <w:tcW w:w="611" w:type="pct"/>
            <w:tcBorders>
              <w:top w:val="single" w:sz="8" w:space="0" w:color="FFFFFF"/>
              <w:left w:val="nil"/>
              <w:bottom w:val="single" w:sz="8" w:space="0" w:color="FFFFFF"/>
              <w:right w:val="nil"/>
            </w:tcBorders>
            <w:shd w:val="clear" w:color="000000" w:fill="DAEEF3"/>
            <w:vAlign w:val="center"/>
            <w:hideMark/>
          </w:tcPr>
          <w:p w14:paraId="0921A32F"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0.77%</w:t>
            </w:r>
          </w:p>
        </w:tc>
        <w:tc>
          <w:tcPr>
            <w:tcW w:w="611" w:type="pct"/>
            <w:tcBorders>
              <w:top w:val="single" w:sz="8" w:space="0" w:color="FFFFFF"/>
              <w:left w:val="single" w:sz="8" w:space="0" w:color="FFFFFF"/>
              <w:bottom w:val="single" w:sz="8" w:space="0" w:color="FFFFFF"/>
              <w:right w:val="nil"/>
            </w:tcBorders>
            <w:shd w:val="clear" w:color="000000" w:fill="DAEEF3"/>
            <w:vAlign w:val="center"/>
            <w:hideMark/>
          </w:tcPr>
          <w:p w14:paraId="6A7DF639"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1.00%</w:t>
            </w:r>
          </w:p>
        </w:tc>
        <w:tc>
          <w:tcPr>
            <w:tcW w:w="604" w:type="pct"/>
            <w:tcBorders>
              <w:top w:val="single" w:sz="8" w:space="0" w:color="FFFFFF"/>
              <w:left w:val="single" w:sz="8" w:space="0" w:color="FFFFFF"/>
              <w:bottom w:val="single" w:sz="8" w:space="0" w:color="FFFFFF"/>
              <w:right w:val="single" w:sz="8" w:space="0" w:color="auto"/>
            </w:tcBorders>
            <w:shd w:val="clear" w:color="000000" w:fill="DAEEF3"/>
            <w:vAlign w:val="center"/>
            <w:hideMark/>
          </w:tcPr>
          <w:p w14:paraId="7D5BD2BA" w14:textId="77777777" w:rsidR="00B13EFE" w:rsidRPr="00140CAE" w:rsidRDefault="0059625F" w:rsidP="00B13EFE">
            <w:pPr>
              <w:spacing w:after="0"/>
              <w:jc w:val="center"/>
              <w:rPr>
                <w:rFonts w:ascii="Arial Narrow" w:hAnsi="Arial Narrow"/>
                <w:color w:val="000000"/>
                <w:szCs w:val="24"/>
                <w:lang w:eastAsia="en-AU"/>
              </w:rPr>
            </w:pPr>
            <w:r w:rsidRPr="00140CAE">
              <w:rPr>
                <w:rFonts w:ascii="Arial Narrow" w:hAnsi="Arial Narrow"/>
                <w:noProof/>
                <w:color w:val="000000"/>
                <w:szCs w:val="24"/>
                <w:lang w:eastAsia="en-AU"/>
              </w:rPr>
              <mc:AlternateContent>
                <mc:Choice Requires="wps">
                  <w:drawing>
                    <wp:anchor distT="0" distB="0" distL="114300" distR="114300" simplePos="0" relativeHeight="251695104" behindDoc="0" locked="0" layoutInCell="1" allowOverlap="1" wp14:anchorId="75CB8240" wp14:editId="1B50BCB3">
                      <wp:simplePos x="0" y="0"/>
                      <wp:positionH relativeFrom="column">
                        <wp:posOffset>164465</wp:posOffset>
                      </wp:positionH>
                      <wp:positionV relativeFrom="paragraph">
                        <wp:posOffset>33020</wp:posOffset>
                      </wp:positionV>
                      <wp:extent cx="180975" cy="161925"/>
                      <wp:effectExtent l="0" t="0" r="28575" b="28575"/>
                      <wp:wrapNone/>
                      <wp:docPr id="30" name="Flowchart: Connector 30"/>
                      <wp:cNvGraphicFramePr/>
                      <a:graphic xmlns:a="http://schemas.openxmlformats.org/drawingml/2006/main">
                        <a:graphicData uri="http://schemas.microsoft.com/office/word/2010/wordprocessingShape">
                          <wps:wsp>
                            <wps:cNvSpPr/>
                            <wps:spPr>
                              <a:xfrm>
                                <a:off x="0" y="0"/>
                                <a:ext cx="171450" cy="152400"/>
                              </a:xfrm>
                              <a:prstGeom prst="flowChartConnector">
                                <a:avLst/>
                              </a:prstGeom>
                              <a:solidFill>
                                <a:srgbClr val="92D05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B4F66" id="Flowchart: Connector 30" o:spid="_x0000_s1026" type="#_x0000_t120" style="position:absolute;margin-left:12.95pt;margin-top:2.6pt;width:14.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" fillcolor="#92d050" strokecolor="windowText" strokeweight=".5pt"/>
                  </w:pict>
                </mc:Fallback>
              </mc:AlternateContent>
            </w:r>
            <w:r w:rsidR="00B13EFE" w:rsidRPr="00140CAE">
              <w:rPr>
                <w:rFonts w:ascii="Arial Narrow" w:hAnsi="Arial Narrow"/>
                <w:color w:val="000000"/>
                <w:szCs w:val="24"/>
                <w:lang w:eastAsia="en-AU"/>
              </w:rPr>
              <w:t> </w:t>
            </w:r>
          </w:p>
        </w:tc>
      </w:tr>
      <w:tr w:rsidR="00B13EFE" w:rsidRPr="00140CAE" w14:paraId="32475F7E" w14:textId="77777777" w:rsidTr="00BA2B79">
        <w:trPr>
          <w:trHeight w:val="330"/>
        </w:trPr>
        <w:tc>
          <w:tcPr>
            <w:tcW w:w="722" w:type="pct"/>
            <w:tcBorders>
              <w:top w:val="single" w:sz="8" w:space="0" w:color="FFFFFF"/>
              <w:left w:val="single" w:sz="8" w:space="0" w:color="auto"/>
              <w:bottom w:val="single" w:sz="8" w:space="0" w:color="auto"/>
              <w:right w:val="thinThickSmallGap" w:sz="24" w:space="0" w:color="auto"/>
            </w:tcBorders>
            <w:shd w:val="clear" w:color="000000" w:fill="4BACC6"/>
            <w:vAlign w:val="center"/>
            <w:hideMark/>
          </w:tcPr>
          <w:p w14:paraId="6F5F0154" w14:textId="77777777" w:rsidR="00B13EFE" w:rsidRPr="00140CAE" w:rsidRDefault="00B13EFE" w:rsidP="00B13EFE">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Roads</w:t>
            </w:r>
          </w:p>
        </w:tc>
        <w:tc>
          <w:tcPr>
            <w:tcW w:w="610" w:type="pct"/>
            <w:tcBorders>
              <w:top w:val="nil"/>
              <w:left w:val="thinThickSmallGap" w:sz="24" w:space="0" w:color="auto"/>
              <w:bottom w:val="single" w:sz="8" w:space="0" w:color="auto"/>
              <w:right w:val="single" w:sz="8" w:space="0" w:color="FFFFFF"/>
            </w:tcBorders>
            <w:shd w:val="clear" w:color="000000" w:fill="B6DDE8"/>
            <w:vAlign w:val="center"/>
            <w:hideMark/>
          </w:tcPr>
          <w:p w14:paraId="2AC2D3E0"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85.02%</w:t>
            </w:r>
          </w:p>
        </w:tc>
        <w:tc>
          <w:tcPr>
            <w:tcW w:w="614" w:type="pct"/>
            <w:tcBorders>
              <w:top w:val="nil"/>
              <w:left w:val="nil"/>
              <w:bottom w:val="single" w:sz="8" w:space="0" w:color="auto"/>
              <w:right w:val="single" w:sz="8" w:space="0" w:color="FFFFFF"/>
            </w:tcBorders>
            <w:shd w:val="clear" w:color="000000" w:fill="B6DDE8"/>
            <w:vAlign w:val="center"/>
            <w:hideMark/>
          </w:tcPr>
          <w:p w14:paraId="0F4702A2"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10.48%</w:t>
            </w:r>
          </w:p>
        </w:tc>
        <w:tc>
          <w:tcPr>
            <w:tcW w:w="614" w:type="pct"/>
            <w:tcBorders>
              <w:top w:val="nil"/>
              <w:left w:val="nil"/>
              <w:bottom w:val="single" w:sz="8" w:space="0" w:color="auto"/>
              <w:right w:val="single" w:sz="8" w:space="0" w:color="FFFFFF"/>
            </w:tcBorders>
            <w:shd w:val="clear" w:color="000000" w:fill="B6DDE8"/>
            <w:vAlign w:val="center"/>
            <w:hideMark/>
          </w:tcPr>
          <w:p w14:paraId="323CB48E"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10.92%</w:t>
            </w:r>
          </w:p>
        </w:tc>
        <w:tc>
          <w:tcPr>
            <w:tcW w:w="614" w:type="pct"/>
            <w:tcBorders>
              <w:top w:val="nil"/>
              <w:left w:val="nil"/>
              <w:bottom w:val="single" w:sz="8" w:space="0" w:color="auto"/>
              <w:right w:val="nil"/>
            </w:tcBorders>
            <w:shd w:val="clear" w:color="000000" w:fill="B6DDE8"/>
            <w:vAlign w:val="center"/>
            <w:hideMark/>
          </w:tcPr>
          <w:p w14:paraId="5DE76BCC"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10.06%</w:t>
            </w:r>
          </w:p>
        </w:tc>
        <w:tc>
          <w:tcPr>
            <w:tcW w:w="611" w:type="pct"/>
            <w:tcBorders>
              <w:top w:val="nil"/>
              <w:left w:val="single" w:sz="8" w:space="0" w:color="FFFFFF"/>
              <w:bottom w:val="single" w:sz="8" w:space="0" w:color="auto"/>
              <w:right w:val="nil"/>
            </w:tcBorders>
            <w:shd w:val="clear" w:color="000000" w:fill="B6DDE8"/>
            <w:vAlign w:val="center"/>
            <w:hideMark/>
          </w:tcPr>
          <w:p w14:paraId="121F6481" w14:textId="77777777" w:rsidR="00B13EFE" w:rsidRPr="00140CAE" w:rsidRDefault="00B13EFE" w:rsidP="00B13EF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9.48%</w:t>
            </w:r>
          </w:p>
        </w:tc>
        <w:tc>
          <w:tcPr>
            <w:tcW w:w="611" w:type="pct"/>
            <w:tcBorders>
              <w:top w:val="nil"/>
              <w:left w:val="single" w:sz="8" w:space="0" w:color="FFFFFF"/>
              <w:bottom w:val="single" w:sz="8" w:space="0" w:color="auto"/>
              <w:right w:val="nil"/>
            </w:tcBorders>
            <w:shd w:val="clear" w:color="000000" w:fill="B6DDE8"/>
            <w:vAlign w:val="center"/>
            <w:hideMark/>
          </w:tcPr>
          <w:p w14:paraId="595F51D9" w14:textId="77777777" w:rsidR="00B13EFE" w:rsidRPr="00140CAE" w:rsidRDefault="00B13EFE" w:rsidP="00F7264E">
            <w:pPr>
              <w:spacing w:after="0"/>
              <w:jc w:val="center"/>
              <w:rPr>
                <w:rFonts w:ascii="Arial Narrow" w:hAnsi="Arial Narrow"/>
                <w:color w:val="000000"/>
                <w:szCs w:val="24"/>
                <w:lang w:eastAsia="en-AU"/>
              </w:rPr>
            </w:pPr>
            <w:r w:rsidRPr="00140CAE">
              <w:rPr>
                <w:rFonts w:ascii="Arial Narrow" w:hAnsi="Arial Narrow"/>
                <w:color w:val="000000"/>
                <w:szCs w:val="24"/>
                <w:lang w:eastAsia="en-AU"/>
              </w:rPr>
              <w:t>9.</w:t>
            </w:r>
            <w:r w:rsidR="00F7264E" w:rsidRPr="00140CAE">
              <w:rPr>
                <w:rFonts w:ascii="Arial Narrow" w:hAnsi="Arial Narrow"/>
                <w:color w:val="000000"/>
                <w:szCs w:val="24"/>
                <w:lang w:eastAsia="en-AU"/>
              </w:rPr>
              <w:t>00</w:t>
            </w:r>
            <w:r w:rsidRPr="00140CAE">
              <w:rPr>
                <w:rFonts w:ascii="Arial Narrow" w:hAnsi="Arial Narrow"/>
                <w:color w:val="000000"/>
                <w:szCs w:val="24"/>
                <w:lang w:eastAsia="en-AU"/>
              </w:rPr>
              <w:t>%</w:t>
            </w:r>
          </w:p>
        </w:tc>
        <w:tc>
          <w:tcPr>
            <w:tcW w:w="604" w:type="pct"/>
            <w:tcBorders>
              <w:top w:val="nil"/>
              <w:left w:val="single" w:sz="8" w:space="0" w:color="FFFFFF"/>
              <w:bottom w:val="single" w:sz="8" w:space="0" w:color="auto"/>
              <w:right w:val="single" w:sz="8" w:space="0" w:color="auto"/>
            </w:tcBorders>
            <w:shd w:val="clear" w:color="000000" w:fill="B6DDE8"/>
            <w:vAlign w:val="center"/>
            <w:hideMark/>
          </w:tcPr>
          <w:p w14:paraId="38D3D962" w14:textId="77777777" w:rsidR="00B13EFE" w:rsidRPr="00140CAE" w:rsidRDefault="0059625F" w:rsidP="00B13EFE">
            <w:pPr>
              <w:spacing w:after="0"/>
              <w:jc w:val="center"/>
              <w:rPr>
                <w:rFonts w:ascii="Arial Narrow" w:hAnsi="Arial Narrow"/>
                <w:color w:val="000000"/>
                <w:szCs w:val="24"/>
                <w:lang w:eastAsia="en-AU"/>
              </w:rPr>
            </w:pPr>
            <w:r w:rsidRPr="00140CAE">
              <w:rPr>
                <w:rFonts w:ascii="Arial Narrow" w:hAnsi="Arial Narrow"/>
                <w:noProof/>
                <w:color w:val="000000"/>
                <w:szCs w:val="24"/>
                <w:lang w:eastAsia="en-AU"/>
              </w:rPr>
              <mc:AlternateContent>
                <mc:Choice Requires="wps">
                  <w:drawing>
                    <wp:anchor distT="0" distB="0" distL="114300" distR="114300" simplePos="0" relativeHeight="251701248" behindDoc="0" locked="0" layoutInCell="1" allowOverlap="1" wp14:anchorId="0363E4CA" wp14:editId="2A4CD0FB">
                      <wp:simplePos x="0" y="0"/>
                      <wp:positionH relativeFrom="column">
                        <wp:posOffset>164465</wp:posOffset>
                      </wp:positionH>
                      <wp:positionV relativeFrom="paragraph">
                        <wp:posOffset>635</wp:posOffset>
                      </wp:positionV>
                      <wp:extent cx="180975" cy="161925"/>
                      <wp:effectExtent l="0" t="0" r="28575" b="28575"/>
                      <wp:wrapNone/>
                      <wp:docPr id="448" name="Flowchart: Connector 448"/>
                      <wp:cNvGraphicFramePr/>
                      <a:graphic xmlns:a="http://schemas.openxmlformats.org/drawingml/2006/main">
                        <a:graphicData uri="http://schemas.microsoft.com/office/word/2010/wordprocessingShape">
                          <wps:wsp>
                            <wps:cNvSpPr/>
                            <wps:spPr>
                              <a:xfrm>
                                <a:off x="0" y="0"/>
                                <a:ext cx="171450" cy="152400"/>
                              </a:xfrm>
                              <a:prstGeom prst="flowChartConnector">
                                <a:avLst/>
                              </a:prstGeom>
                              <a:solidFill>
                                <a:srgbClr val="92D05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DA353" id="Flowchart: Connector 448" o:spid="_x0000_s1026" type="#_x0000_t120" style="position:absolute;margin-left:12.95pt;margin-top:.05pt;width:14.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" fillcolor="#92d050" strokecolor="windowText" strokeweight=".5pt"/>
                  </w:pict>
                </mc:Fallback>
              </mc:AlternateContent>
            </w:r>
            <w:r w:rsidR="00B13EFE" w:rsidRPr="00140CAE">
              <w:rPr>
                <w:rFonts w:ascii="Arial Narrow" w:hAnsi="Arial Narrow"/>
                <w:color w:val="000000"/>
                <w:szCs w:val="24"/>
                <w:lang w:eastAsia="en-AU"/>
              </w:rPr>
              <w:t> </w:t>
            </w:r>
          </w:p>
        </w:tc>
      </w:tr>
    </w:tbl>
    <w:p w14:paraId="772724E9" w14:textId="77777777" w:rsidR="00EA2563" w:rsidRPr="00140CAE" w:rsidRDefault="00EA2563" w:rsidP="00C94B80">
      <w:pPr>
        <w:pStyle w:val="BodyText"/>
        <w:ind w:left="1701" w:hanging="1275"/>
        <w:jc w:val="left"/>
      </w:pPr>
    </w:p>
    <w:p w14:paraId="33BFEB11" w14:textId="77777777" w:rsidR="00833923" w:rsidRPr="00140CAE" w:rsidRDefault="00833923" w:rsidP="00144B3B">
      <w:pPr>
        <w:pStyle w:val="BodyText"/>
        <w:numPr>
          <w:ilvl w:val="0"/>
          <w:numId w:val="21"/>
        </w:numPr>
        <w:ind w:left="357" w:hanging="357"/>
        <w:rPr>
          <w:b/>
          <w:color w:val="4BACC6"/>
        </w:rPr>
      </w:pPr>
      <w:r w:rsidRPr="00140CAE">
        <w:rPr>
          <w:b/>
          <w:color w:val="0070C0"/>
        </w:rPr>
        <w:t>Ensure that footpaths meet community needs for pedestrian and bike travel and that all new footpaths are DDA compliant</w:t>
      </w:r>
      <w:r w:rsidRPr="00140CAE">
        <w:rPr>
          <w:b/>
          <w:color w:val="4BACC6"/>
        </w:rPr>
        <w:t>.</w:t>
      </w:r>
    </w:p>
    <w:p w14:paraId="64A9BEB8" w14:textId="0FBEAD3E" w:rsidR="00833923" w:rsidRPr="00140CAE" w:rsidRDefault="00833923" w:rsidP="0069582C">
      <w:r w:rsidRPr="00140CAE">
        <w:t>Community – Total number of C</w:t>
      </w:r>
      <w:r w:rsidR="00340CA6" w:rsidRPr="00140CAE">
        <w:t>ustomer enquiries and</w:t>
      </w:r>
      <w:r w:rsidR="00A2617E">
        <w:t>-</w:t>
      </w:r>
      <w:r w:rsidR="00340CA6" w:rsidRPr="00140CAE">
        <w:t>or</w:t>
      </w:r>
      <w:r w:rsidRPr="00140CAE">
        <w:t xml:space="preserve"> requests relating to new footpaths</w:t>
      </w:r>
    </w:p>
    <w:tbl>
      <w:tblPr>
        <w:tblW w:w="5000" w:type="pct"/>
        <w:tblBorders>
          <w:top w:val="single" w:sz="8" w:space="0" w:color="auto"/>
          <w:left w:val="single" w:sz="8" w:space="0" w:color="auto"/>
          <w:bottom w:val="single" w:sz="8" w:space="0" w:color="auto"/>
          <w:right w:val="single" w:sz="8" w:space="0" w:color="auto"/>
          <w:insideH w:val="single" w:sz="8" w:space="0" w:color="FFFFFF"/>
          <w:insideV w:val="single" w:sz="8" w:space="0" w:color="FFFFFF"/>
        </w:tblBorders>
        <w:tblLook w:val="04A0" w:firstRow="1" w:lastRow="0" w:firstColumn="1" w:lastColumn="0" w:noHBand="0" w:noVBand="1"/>
      </w:tblPr>
      <w:tblGrid>
        <w:gridCol w:w="1640"/>
        <w:gridCol w:w="1268"/>
        <w:gridCol w:w="1268"/>
        <w:gridCol w:w="1268"/>
        <w:gridCol w:w="1268"/>
        <w:gridCol w:w="1268"/>
        <w:gridCol w:w="1263"/>
      </w:tblGrid>
      <w:tr w:rsidR="006F1EE8" w:rsidRPr="00140CAE" w14:paraId="68865F03" w14:textId="77777777" w:rsidTr="00BA2B79">
        <w:trPr>
          <w:trHeight w:val="402"/>
        </w:trPr>
        <w:tc>
          <w:tcPr>
            <w:tcW w:w="887" w:type="pct"/>
            <w:tcBorders>
              <w:bottom w:val="thinThickSmallGap" w:sz="24" w:space="0" w:color="auto"/>
            </w:tcBorders>
            <w:shd w:val="clear" w:color="000000" w:fill="4BACC6"/>
            <w:vAlign w:val="center"/>
            <w:hideMark/>
          </w:tcPr>
          <w:p w14:paraId="5F0686FD" w14:textId="77777777"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Community</w:t>
            </w:r>
          </w:p>
        </w:tc>
        <w:tc>
          <w:tcPr>
            <w:tcW w:w="686" w:type="pct"/>
            <w:tcBorders>
              <w:bottom w:val="thinThickSmallGap" w:sz="24" w:space="0" w:color="auto"/>
            </w:tcBorders>
            <w:shd w:val="clear" w:color="000000" w:fill="4BACC6"/>
            <w:vAlign w:val="center"/>
            <w:hideMark/>
          </w:tcPr>
          <w:p w14:paraId="18757234" w14:textId="6B8BC867"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2012</w:t>
            </w:r>
            <w:r w:rsidR="00A2617E">
              <w:rPr>
                <w:rFonts w:ascii="Arial Narrow" w:hAnsi="Arial Narrow"/>
                <w:color w:val="FFFFFF"/>
                <w:szCs w:val="24"/>
                <w:lang w:eastAsia="en-AU"/>
              </w:rPr>
              <w:t>-</w:t>
            </w:r>
            <w:r w:rsidRPr="00140CAE">
              <w:rPr>
                <w:rFonts w:ascii="Arial Narrow" w:hAnsi="Arial Narrow"/>
                <w:color w:val="FFFFFF"/>
                <w:szCs w:val="24"/>
                <w:lang w:eastAsia="en-AU"/>
              </w:rPr>
              <w:t>13</w:t>
            </w:r>
          </w:p>
        </w:tc>
        <w:tc>
          <w:tcPr>
            <w:tcW w:w="686" w:type="pct"/>
            <w:tcBorders>
              <w:bottom w:val="thinThickSmallGap" w:sz="24" w:space="0" w:color="auto"/>
            </w:tcBorders>
            <w:shd w:val="clear" w:color="000000" w:fill="4BACC6"/>
            <w:vAlign w:val="center"/>
            <w:hideMark/>
          </w:tcPr>
          <w:p w14:paraId="6CAAE3A5" w14:textId="0527C572"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2013</w:t>
            </w:r>
            <w:r w:rsidR="00A2617E">
              <w:rPr>
                <w:rFonts w:ascii="Arial Narrow" w:hAnsi="Arial Narrow"/>
                <w:color w:val="FFFFFF"/>
                <w:szCs w:val="24"/>
                <w:lang w:eastAsia="en-AU"/>
              </w:rPr>
              <w:t>-</w:t>
            </w:r>
            <w:r w:rsidRPr="00140CAE">
              <w:rPr>
                <w:rFonts w:ascii="Arial Narrow" w:hAnsi="Arial Narrow"/>
                <w:color w:val="FFFFFF"/>
                <w:szCs w:val="24"/>
                <w:lang w:eastAsia="en-AU"/>
              </w:rPr>
              <w:t>14</w:t>
            </w:r>
          </w:p>
        </w:tc>
        <w:tc>
          <w:tcPr>
            <w:tcW w:w="686" w:type="pct"/>
            <w:tcBorders>
              <w:bottom w:val="thinThickSmallGap" w:sz="24" w:space="0" w:color="auto"/>
            </w:tcBorders>
            <w:shd w:val="clear" w:color="000000" w:fill="4BACC6"/>
            <w:vAlign w:val="center"/>
            <w:hideMark/>
          </w:tcPr>
          <w:p w14:paraId="72EC17F7" w14:textId="442D5392"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2016</w:t>
            </w:r>
            <w:r w:rsidR="00A2617E">
              <w:rPr>
                <w:rFonts w:ascii="Arial Narrow" w:hAnsi="Arial Narrow"/>
                <w:color w:val="FFFFFF"/>
                <w:szCs w:val="24"/>
                <w:lang w:eastAsia="en-AU"/>
              </w:rPr>
              <w:t>-</w:t>
            </w:r>
            <w:r w:rsidRPr="00140CAE">
              <w:rPr>
                <w:rFonts w:ascii="Arial Narrow" w:hAnsi="Arial Narrow"/>
                <w:color w:val="FFFFFF"/>
                <w:szCs w:val="24"/>
                <w:lang w:eastAsia="en-AU"/>
              </w:rPr>
              <w:t>17</w:t>
            </w:r>
          </w:p>
        </w:tc>
        <w:tc>
          <w:tcPr>
            <w:tcW w:w="686" w:type="pct"/>
            <w:tcBorders>
              <w:bottom w:val="thinThickSmallGap" w:sz="24" w:space="0" w:color="auto"/>
            </w:tcBorders>
            <w:shd w:val="clear" w:color="000000" w:fill="4BACC6"/>
            <w:vAlign w:val="center"/>
            <w:hideMark/>
          </w:tcPr>
          <w:p w14:paraId="666055A4" w14:textId="079619D0"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2017</w:t>
            </w:r>
            <w:r w:rsidR="00A2617E">
              <w:rPr>
                <w:rFonts w:ascii="Arial Narrow" w:hAnsi="Arial Narrow"/>
                <w:color w:val="FFFFFF"/>
                <w:szCs w:val="24"/>
                <w:lang w:eastAsia="en-AU"/>
              </w:rPr>
              <w:t>-</w:t>
            </w:r>
            <w:r w:rsidRPr="00140CAE">
              <w:rPr>
                <w:rFonts w:ascii="Arial Narrow" w:hAnsi="Arial Narrow"/>
                <w:color w:val="FFFFFF"/>
                <w:szCs w:val="24"/>
                <w:lang w:eastAsia="en-AU"/>
              </w:rPr>
              <w:t>18</w:t>
            </w:r>
          </w:p>
        </w:tc>
        <w:tc>
          <w:tcPr>
            <w:tcW w:w="686" w:type="pct"/>
            <w:tcBorders>
              <w:bottom w:val="thinThickSmallGap" w:sz="24" w:space="0" w:color="auto"/>
            </w:tcBorders>
            <w:shd w:val="clear" w:color="000000" w:fill="4BACC6"/>
            <w:vAlign w:val="center"/>
            <w:hideMark/>
          </w:tcPr>
          <w:p w14:paraId="18C2589C" w14:textId="69FC6E94" w:rsidR="00C91BCA" w:rsidRPr="00140CAE" w:rsidRDefault="00C91BCA" w:rsidP="006A0914">
            <w:pPr>
              <w:spacing w:after="0"/>
              <w:jc w:val="center"/>
              <w:rPr>
                <w:rFonts w:ascii="Arial Narrow" w:hAnsi="Arial Narrow"/>
                <w:color w:val="FFFFFF"/>
                <w:szCs w:val="24"/>
                <w:lang w:eastAsia="en-AU"/>
              </w:rPr>
            </w:pPr>
            <w:r w:rsidRPr="00140CAE">
              <w:rPr>
                <w:rFonts w:ascii="Arial Narrow" w:hAnsi="Arial Narrow"/>
                <w:color w:val="FFFFFF"/>
                <w:szCs w:val="24"/>
                <w:lang w:eastAsia="en-AU"/>
              </w:rPr>
              <w:t>201</w:t>
            </w:r>
            <w:r w:rsidR="006A0914" w:rsidRPr="00140CAE">
              <w:rPr>
                <w:rFonts w:ascii="Arial Narrow" w:hAnsi="Arial Narrow"/>
                <w:color w:val="FFFFFF"/>
                <w:szCs w:val="24"/>
                <w:lang w:eastAsia="en-AU"/>
              </w:rPr>
              <w:t>9</w:t>
            </w:r>
            <w:r w:rsidR="00A2617E">
              <w:rPr>
                <w:rFonts w:ascii="Arial Narrow" w:hAnsi="Arial Narrow"/>
                <w:color w:val="FFFFFF"/>
                <w:szCs w:val="24"/>
                <w:lang w:eastAsia="en-AU"/>
              </w:rPr>
              <w:t>-</w:t>
            </w:r>
            <w:r w:rsidR="006A0914" w:rsidRPr="00140CAE">
              <w:rPr>
                <w:rFonts w:ascii="Arial Narrow" w:hAnsi="Arial Narrow"/>
                <w:color w:val="FFFFFF"/>
                <w:szCs w:val="24"/>
                <w:lang w:eastAsia="en-AU"/>
              </w:rPr>
              <w:t>20</w:t>
            </w:r>
          </w:p>
        </w:tc>
        <w:tc>
          <w:tcPr>
            <w:tcW w:w="684" w:type="pct"/>
            <w:tcBorders>
              <w:bottom w:val="thinThickSmallGap" w:sz="24" w:space="0" w:color="auto"/>
            </w:tcBorders>
            <w:shd w:val="clear" w:color="000000" w:fill="4BACC6"/>
            <w:vAlign w:val="center"/>
            <w:hideMark/>
          </w:tcPr>
          <w:p w14:paraId="72CE1EF4" w14:textId="77777777"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Status</w:t>
            </w:r>
          </w:p>
        </w:tc>
      </w:tr>
      <w:tr w:rsidR="006F1EE8" w:rsidRPr="00140CAE" w14:paraId="1FA3FB7C" w14:textId="77777777" w:rsidTr="00BA2B79">
        <w:trPr>
          <w:trHeight w:val="402"/>
        </w:trPr>
        <w:tc>
          <w:tcPr>
            <w:tcW w:w="887" w:type="pct"/>
            <w:tcBorders>
              <w:top w:val="thinThickSmallGap" w:sz="24" w:space="0" w:color="auto"/>
              <w:bottom w:val="single" w:sz="8" w:space="0" w:color="auto"/>
              <w:right w:val="thinThickSmallGap" w:sz="24" w:space="0" w:color="auto"/>
            </w:tcBorders>
            <w:shd w:val="clear" w:color="000000" w:fill="4BACC6"/>
            <w:vAlign w:val="center"/>
            <w:hideMark/>
          </w:tcPr>
          <w:p w14:paraId="05F7F758" w14:textId="77777777" w:rsidR="00C91BCA" w:rsidRPr="00140CAE" w:rsidRDefault="00C91BCA" w:rsidP="00C91BCA">
            <w:pPr>
              <w:spacing w:after="0"/>
              <w:jc w:val="center"/>
              <w:rPr>
                <w:rFonts w:ascii="Arial Narrow" w:hAnsi="Arial Narrow"/>
                <w:color w:val="FFFFFF"/>
                <w:szCs w:val="24"/>
                <w:lang w:eastAsia="en-AU"/>
              </w:rPr>
            </w:pPr>
            <w:r w:rsidRPr="00140CAE">
              <w:rPr>
                <w:rFonts w:ascii="Arial Narrow" w:hAnsi="Arial Narrow"/>
                <w:color w:val="FFFFFF"/>
                <w:szCs w:val="24"/>
                <w:lang w:eastAsia="en-AU"/>
              </w:rPr>
              <w:t>Total</w:t>
            </w:r>
          </w:p>
        </w:tc>
        <w:tc>
          <w:tcPr>
            <w:tcW w:w="686" w:type="pct"/>
            <w:tcBorders>
              <w:top w:val="thinThickSmallGap" w:sz="24" w:space="0" w:color="auto"/>
              <w:left w:val="thinThickSmallGap" w:sz="24" w:space="0" w:color="auto"/>
              <w:bottom w:val="single" w:sz="8" w:space="0" w:color="auto"/>
            </w:tcBorders>
            <w:shd w:val="clear" w:color="000000" w:fill="B6DDE8"/>
            <w:vAlign w:val="center"/>
            <w:hideMark/>
          </w:tcPr>
          <w:p w14:paraId="14D8AB1C" w14:textId="77777777" w:rsidR="00C91BCA" w:rsidRPr="00140CAE" w:rsidRDefault="00C91BCA" w:rsidP="00C91BCA">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77</w:t>
            </w:r>
          </w:p>
        </w:tc>
        <w:tc>
          <w:tcPr>
            <w:tcW w:w="686" w:type="pct"/>
            <w:tcBorders>
              <w:top w:val="thinThickSmallGap" w:sz="24" w:space="0" w:color="auto"/>
              <w:bottom w:val="single" w:sz="8" w:space="0" w:color="auto"/>
            </w:tcBorders>
            <w:shd w:val="clear" w:color="000000" w:fill="B6DDE8"/>
            <w:vAlign w:val="center"/>
            <w:hideMark/>
          </w:tcPr>
          <w:p w14:paraId="5729173B" w14:textId="77777777" w:rsidR="00C91BCA" w:rsidRPr="00140CAE" w:rsidRDefault="00C91BCA" w:rsidP="00C91BCA">
            <w:pPr>
              <w:spacing w:after="0"/>
              <w:jc w:val="center"/>
              <w:rPr>
                <w:rFonts w:ascii="Arial Narrow" w:hAnsi="Arial Narrow"/>
                <w:color w:val="000000"/>
                <w:szCs w:val="24"/>
                <w:lang w:eastAsia="en-AU"/>
              </w:rPr>
            </w:pPr>
            <w:r w:rsidRPr="00140CAE">
              <w:rPr>
                <w:rFonts w:ascii="Arial Narrow" w:hAnsi="Arial Narrow"/>
                <w:color w:val="000000"/>
                <w:szCs w:val="24"/>
                <w:lang w:eastAsia="en-AU"/>
              </w:rPr>
              <w:t>64</w:t>
            </w:r>
          </w:p>
        </w:tc>
        <w:tc>
          <w:tcPr>
            <w:tcW w:w="686" w:type="pct"/>
            <w:tcBorders>
              <w:top w:val="thinThickSmallGap" w:sz="24" w:space="0" w:color="auto"/>
              <w:bottom w:val="single" w:sz="8" w:space="0" w:color="auto"/>
            </w:tcBorders>
            <w:shd w:val="clear" w:color="000000" w:fill="B6DDE8"/>
            <w:vAlign w:val="center"/>
            <w:hideMark/>
          </w:tcPr>
          <w:p w14:paraId="5E6D05E7" w14:textId="77777777" w:rsidR="00C91BCA" w:rsidRPr="00140CAE" w:rsidRDefault="00C91BCA" w:rsidP="00C91BCA">
            <w:pPr>
              <w:spacing w:after="0"/>
              <w:jc w:val="center"/>
              <w:rPr>
                <w:rFonts w:ascii="Arial Narrow" w:hAnsi="Arial Narrow"/>
                <w:color w:val="000000"/>
                <w:szCs w:val="24"/>
                <w:lang w:eastAsia="en-AU"/>
              </w:rPr>
            </w:pPr>
            <w:r w:rsidRPr="00140CAE">
              <w:rPr>
                <w:rFonts w:ascii="Arial Narrow" w:hAnsi="Arial Narrow"/>
                <w:noProof/>
                <w:color w:val="000000"/>
                <w:szCs w:val="24"/>
                <w:lang w:eastAsia="en-AU"/>
              </w:rPr>
              <w:t>60</w:t>
            </w:r>
          </w:p>
        </w:tc>
        <w:tc>
          <w:tcPr>
            <w:tcW w:w="686" w:type="pct"/>
            <w:tcBorders>
              <w:top w:val="thinThickSmallGap" w:sz="24" w:space="0" w:color="auto"/>
              <w:bottom w:val="single" w:sz="8" w:space="0" w:color="auto"/>
            </w:tcBorders>
            <w:shd w:val="clear" w:color="000000" w:fill="B6DDE8"/>
            <w:vAlign w:val="center"/>
            <w:hideMark/>
          </w:tcPr>
          <w:p w14:paraId="17885619" w14:textId="77777777" w:rsidR="00C91BCA" w:rsidRPr="00140CAE" w:rsidRDefault="00C91BCA" w:rsidP="00C91BCA">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70</w:t>
            </w:r>
          </w:p>
        </w:tc>
        <w:tc>
          <w:tcPr>
            <w:tcW w:w="686" w:type="pct"/>
            <w:tcBorders>
              <w:top w:val="thinThickSmallGap" w:sz="24" w:space="0" w:color="auto"/>
              <w:bottom w:val="single" w:sz="8" w:space="0" w:color="auto"/>
            </w:tcBorders>
            <w:shd w:val="clear" w:color="000000" w:fill="B6DDE8"/>
            <w:vAlign w:val="center"/>
            <w:hideMark/>
          </w:tcPr>
          <w:p w14:paraId="645BB520" w14:textId="77777777" w:rsidR="00C91BCA" w:rsidRPr="00140CAE" w:rsidRDefault="006A0914" w:rsidP="00C91BCA">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71</w:t>
            </w:r>
          </w:p>
        </w:tc>
        <w:tc>
          <w:tcPr>
            <w:tcW w:w="684" w:type="pct"/>
            <w:tcBorders>
              <w:top w:val="thinThickSmallGap" w:sz="24" w:space="0" w:color="auto"/>
              <w:bottom w:val="single" w:sz="8" w:space="0" w:color="auto"/>
            </w:tcBorders>
            <w:shd w:val="clear" w:color="000000" w:fill="B6DDE8"/>
            <w:vAlign w:val="center"/>
            <w:hideMark/>
          </w:tcPr>
          <w:p w14:paraId="2D4087BC" w14:textId="77777777" w:rsidR="00C91BCA" w:rsidRPr="00140CAE" w:rsidRDefault="00DA4CD5" w:rsidP="00C91BCA">
            <w:pPr>
              <w:spacing w:after="0"/>
              <w:jc w:val="left"/>
              <w:rPr>
                <w:rFonts w:ascii="Arial Narrow" w:hAnsi="Arial Narrow"/>
                <w:color w:val="000000"/>
                <w:szCs w:val="24"/>
                <w:lang w:eastAsia="en-AU"/>
              </w:rPr>
            </w:pPr>
            <w:r w:rsidRPr="00140CAE">
              <w:rPr>
                <w:rFonts w:ascii="Arial Narrow" w:hAnsi="Arial Narrow" w:cs="Arial"/>
                <w:noProof/>
                <w:szCs w:val="24"/>
                <w:lang w:eastAsia="en-AU"/>
              </w:rPr>
              <mc:AlternateContent>
                <mc:Choice Requires="wps">
                  <w:drawing>
                    <wp:anchor distT="0" distB="0" distL="114300" distR="114300" simplePos="0" relativeHeight="251655168" behindDoc="0" locked="0" layoutInCell="1" allowOverlap="1" wp14:anchorId="5FF9FE7B" wp14:editId="14A49199">
                      <wp:simplePos x="0" y="0"/>
                      <wp:positionH relativeFrom="column">
                        <wp:posOffset>228600</wp:posOffset>
                      </wp:positionH>
                      <wp:positionV relativeFrom="paragraph">
                        <wp:posOffset>-32385</wp:posOffset>
                      </wp:positionV>
                      <wp:extent cx="179705" cy="179705"/>
                      <wp:effectExtent l="0" t="0" r="10795" b="10795"/>
                      <wp:wrapNone/>
                      <wp:docPr id="6" name="Flowchart: Connector 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5500" id="Flowchart: Connector 6" o:spid="_x0000_s1026" type="#_x0000_t120" style="position:absolute;margin-left:18pt;margin-top:-2.55pt;width:14.15pt;height:1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" fillcolor="#ffc000" strokecolor="windowText" strokeweight=".5pt"/>
                  </w:pict>
                </mc:Fallback>
              </mc:AlternateContent>
            </w:r>
          </w:p>
        </w:tc>
      </w:tr>
    </w:tbl>
    <w:p w14:paraId="70F382C2" w14:textId="77777777" w:rsidR="007E3D93" w:rsidRPr="00140CAE" w:rsidRDefault="007E3D93" w:rsidP="007E3D93"/>
    <w:p w14:paraId="48EC4DF4" w14:textId="77777777" w:rsidR="00C94B80" w:rsidRPr="00140CAE" w:rsidRDefault="00833923" w:rsidP="007E3D93">
      <w:r w:rsidRPr="00140CAE">
        <w:t>Technical – Number of footpath junctions requiring kerb ramps</w:t>
      </w:r>
      <w:r w:rsidR="006531BC" w:rsidRPr="00140CAE">
        <w:t xml:space="preserve"> </w:t>
      </w:r>
      <w:r w:rsidR="0055495F" w:rsidRPr="00140CAE">
        <w:t>–</w:t>
      </w:r>
      <w:r w:rsidR="006531BC" w:rsidRPr="00140CAE">
        <w:t xml:space="preserve"> </w:t>
      </w:r>
      <w:r w:rsidR="00300D8E" w:rsidRPr="00140CAE">
        <w:t>Not known</w:t>
      </w:r>
    </w:p>
    <w:p w14:paraId="2C775EB0" w14:textId="77777777" w:rsidR="000D542A" w:rsidRPr="00140CAE" w:rsidRDefault="000D542A" w:rsidP="00144B3B">
      <w:pPr>
        <w:pStyle w:val="BodyText"/>
        <w:numPr>
          <w:ilvl w:val="0"/>
          <w:numId w:val="21"/>
        </w:numPr>
        <w:ind w:left="357" w:hanging="357"/>
        <w:rPr>
          <w:b/>
          <w:color w:val="4BACC6"/>
        </w:rPr>
      </w:pPr>
      <w:r w:rsidRPr="00140CAE">
        <w:rPr>
          <w:b/>
          <w:color w:val="0070C0"/>
        </w:rPr>
        <w:t>Maintain footpaths by proactive repairs</w:t>
      </w:r>
    </w:p>
    <w:p w14:paraId="7A783FA1" w14:textId="77777777" w:rsidR="00357FE6" w:rsidRPr="00140CAE" w:rsidRDefault="000D542A" w:rsidP="00DC286C">
      <w:r w:rsidRPr="00140CAE">
        <w:t>Technical – Lower percentage of maintenance done by reactive repairs</w:t>
      </w:r>
    </w:p>
    <w:tbl>
      <w:tblPr>
        <w:tblW w:w="5000" w:type="pct"/>
        <w:tblLook w:val="04A0" w:firstRow="1" w:lastRow="0" w:firstColumn="1" w:lastColumn="0" w:noHBand="0" w:noVBand="1"/>
      </w:tblPr>
      <w:tblGrid>
        <w:gridCol w:w="2778"/>
        <w:gridCol w:w="1110"/>
        <w:gridCol w:w="1109"/>
        <w:gridCol w:w="1109"/>
        <w:gridCol w:w="1109"/>
        <w:gridCol w:w="1109"/>
        <w:gridCol w:w="919"/>
      </w:tblGrid>
      <w:tr w:rsidR="00357FE6" w:rsidRPr="00140CAE" w14:paraId="598BD45E" w14:textId="77777777" w:rsidTr="00BA2B79">
        <w:trPr>
          <w:trHeight w:val="375"/>
        </w:trPr>
        <w:tc>
          <w:tcPr>
            <w:tcW w:w="1501" w:type="pct"/>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722DFE71" w14:textId="77777777"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Technical</w:t>
            </w:r>
          </w:p>
        </w:tc>
        <w:tc>
          <w:tcPr>
            <w:tcW w:w="600" w:type="pct"/>
            <w:tcBorders>
              <w:top w:val="single" w:sz="8" w:space="0" w:color="auto"/>
              <w:left w:val="nil"/>
              <w:bottom w:val="thinThickSmallGap" w:sz="24" w:space="0" w:color="auto"/>
              <w:right w:val="single" w:sz="8" w:space="0" w:color="FFFFFF"/>
            </w:tcBorders>
            <w:shd w:val="clear" w:color="000000" w:fill="4BACC6"/>
            <w:vAlign w:val="center"/>
            <w:hideMark/>
          </w:tcPr>
          <w:p w14:paraId="69873819" w14:textId="52A01A57"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2011</w:t>
            </w:r>
            <w:r w:rsidR="00A2617E">
              <w:rPr>
                <w:rFonts w:ascii="Arial Narrow" w:hAnsi="Arial Narrow"/>
                <w:b/>
                <w:bCs/>
                <w:color w:val="FFFFFF"/>
                <w:szCs w:val="24"/>
                <w:lang w:eastAsia="en-AU"/>
              </w:rPr>
              <w:t>-</w:t>
            </w:r>
            <w:r w:rsidRPr="00140CAE">
              <w:rPr>
                <w:rFonts w:ascii="Arial Narrow" w:hAnsi="Arial Narrow"/>
                <w:b/>
                <w:bCs/>
                <w:color w:val="FFFFFF"/>
                <w:szCs w:val="24"/>
                <w:lang w:eastAsia="en-AU"/>
              </w:rPr>
              <w:t>12</w:t>
            </w:r>
          </w:p>
        </w:tc>
        <w:tc>
          <w:tcPr>
            <w:tcW w:w="600" w:type="pct"/>
            <w:tcBorders>
              <w:top w:val="single" w:sz="8" w:space="0" w:color="auto"/>
              <w:left w:val="nil"/>
              <w:bottom w:val="thinThickSmallGap" w:sz="24" w:space="0" w:color="auto"/>
              <w:right w:val="single" w:sz="8" w:space="0" w:color="FFFFFF"/>
            </w:tcBorders>
            <w:shd w:val="clear" w:color="000000" w:fill="4BACC6"/>
            <w:vAlign w:val="center"/>
            <w:hideMark/>
          </w:tcPr>
          <w:p w14:paraId="03800B73" w14:textId="434ED166"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2012</w:t>
            </w:r>
            <w:r w:rsidR="00A2617E">
              <w:rPr>
                <w:rFonts w:ascii="Arial Narrow" w:hAnsi="Arial Narrow"/>
                <w:b/>
                <w:bCs/>
                <w:color w:val="FFFFFF"/>
                <w:szCs w:val="24"/>
                <w:lang w:eastAsia="en-AU"/>
              </w:rPr>
              <w:t>-</w:t>
            </w:r>
            <w:r w:rsidRPr="00140CAE">
              <w:rPr>
                <w:rFonts w:ascii="Arial Narrow" w:hAnsi="Arial Narrow"/>
                <w:b/>
                <w:bCs/>
                <w:color w:val="FFFFFF"/>
                <w:szCs w:val="24"/>
                <w:lang w:eastAsia="en-AU"/>
              </w:rPr>
              <w:t>13</w:t>
            </w:r>
          </w:p>
        </w:tc>
        <w:tc>
          <w:tcPr>
            <w:tcW w:w="600" w:type="pct"/>
            <w:tcBorders>
              <w:top w:val="single" w:sz="8" w:space="0" w:color="auto"/>
              <w:left w:val="nil"/>
              <w:bottom w:val="thinThickSmallGap" w:sz="24" w:space="0" w:color="auto"/>
              <w:right w:val="single" w:sz="8" w:space="0" w:color="FFFFFF"/>
            </w:tcBorders>
            <w:shd w:val="clear" w:color="000000" w:fill="4BACC6"/>
            <w:vAlign w:val="center"/>
            <w:hideMark/>
          </w:tcPr>
          <w:p w14:paraId="6243F1A0" w14:textId="180A683B"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2013</w:t>
            </w:r>
            <w:r w:rsidR="00A2617E">
              <w:rPr>
                <w:rFonts w:ascii="Arial Narrow" w:hAnsi="Arial Narrow"/>
                <w:b/>
                <w:bCs/>
                <w:color w:val="FFFFFF"/>
                <w:szCs w:val="24"/>
                <w:lang w:eastAsia="en-AU"/>
              </w:rPr>
              <w:t>-</w:t>
            </w:r>
            <w:r w:rsidRPr="00140CAE">
              <w:rPr>
                <w:rFonts w:ascii="Arial Narrow" w:hAnsi="Arial Narrow"/>
                <w:b/>
                <w:bCs/>
                <w:color w:val="FFFFFF"/>
                <w:szCs w:val="24"/>
                <w:lang w:eastAsia="en-AU"/>
              </w:rPr>
              <w:t>14</w:t>
            </w:r>
          </w:p>
        </w:tc>
        <w:tc>
          <w:tcPr>
            <w:tcW w:w="600" w:type="pct"/>
            <w:tcBorders>
              <w:top w:val="single" w:sz="8" w:space="0" w:color="auto"/>
              <w:left w:val="nil"/>
              <w:bottom w:val="thinThickSmallGap" w:sz="24" w:space="0" w:color="auto"/>
              <w:right w:val="single" w:sz="8" w:space="0" w:color="FFFFFF"/>
            </w:tcBorders>
            <w:shd w:val="clear" w:color="000000" w:fill="4BACC6"/>
            <w:vAlign w:val="center"/>
            <w:hideMark/>
          </w:tcPr>
          <w:p w14:paraId="63995F77" w14:textId="4CD6F648"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2016</w:t>
            </w:r>
            <w:r w:rsidR="00A2617E">
              <w:rPr>
                <w:rFonts w:ascii="Arial Narrow" w:hAnsi="Arial Narrow"/>
                <w:b/>
                <w:bCs/>
                <w:color w:val="FFFFFF"/>
                <w:szCs w:val="24"/>
                <w:lang w:eastAsia="en-AU"/>
              </w:rPr>
              <w:t>-</w:t>
            </w:r>
            <w:r w:rsidRPr="00140CAE">
              <w:rPr>
                <w:rFonts w:ascii="Arial Narrow" w:hAnsi="Arial Narrow"/>
                <w:b/>
                <w:bCs/>
                <w:color w:val="FFFFFF"/>
                <w:szCs w:val="24"/>
                <w:lang w:eastAsia="en-AU"/>
              </w:rPr>
              <w:t>17</w:t>
            </w:r>
          </w:p>
        </w:tc>
        <w:tc>
          <w:tcPr>
            <w:tcW w:w="600" w:type="pct"/>
            <w:tcBorders>
              <w:top w:val="single" w:sz="8" w:space="0" w:color="auto"/>
              <w:left w:val="nil"/>
              <w:bottom w:val="thinThickSmallGap" w:sz="24" w:space="0" w:color="auto"/>
              <w:right w:val="single" w:sz="8" w:space="0" w:color="FFFFFF"/>
            </w:tcBorders>
            <w:shd w:val="clear" w:color="000000" w:fill="4BACC6"/>
            <w:vAlign w:val="center"/>
            <w:hideMark/>
          </w:tcPr>
          <w:p w14:paraId="0DF037FE" w14:textId="0577BB4C" w:rsidR="00357FE6" w:rsidRPr="00140CAE" w:rsidRDefault="00357FE6" w:rsidP="002A0208">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201</w:t>
            </w:r>
            <w:r w:rsidR="002A0208" w:rsidRPr="00140CAE">
              <w:rPr>
                <w:rFonts w:ascii="Arial Narrow" w:hAnsi="Arial Narrow"/>
                <w:b/>
                <w:bCs/>
                <w:color w:val="FFFFFF"/>
                <w:szCs w:val="24"/>
                <w:lang w:eastAsia="en-AU"/>
              </w:rPr>
              <w:t>9</w:t>
            </w:r>
            <w:r w:rsidR="00A2617E">
              <w:rPr>
                <w:rFonts w:ascii="Arial Narrow" w:hAnsi="Arial Narrow"/>
                <w:b/>
                <w:bCs/>
                <w:color w:val="FFFFFF"/>
                <w:szCs w:val="24"/>
                <w:lang w:eastAsia="en-AU"/>
              </w:rPr>
              <w:t>-</w:t>
            </w:r>
            <w:r w:rsidR="002A0208" w:rsidRPr="00140CAE">
              <w:rPr>
                <w:rFonts w:ascii="Arial Narrow" w:hAnsi="Arial Narrow"/>
                <w:b/>
                <w:bCs/>
                <w:color w:val="FFFFFF"/>
                <w:szCs w:val="24"/>
                <w:lang w:eastAsia="en-AU"/>
              </w:rPr>
              <w:t>20</w:t>
            </w:r>
          </w:p>
        </w:tc>
        <w:tc>
          <w:tcPr>
            <w:tcW w:w="497" w:type="pct"/>
            <w:tcBorders>
              <w:top w:val="single" w:sz="8" w:space="0" w:color="auto"/>
              <w:left w:val="nil"/>
              <w:bottom w:val="thinThickSmallGap" w:sz="24" w:space="0" w:color="auto"/>
              <w:right w:val="single" w:sz="8" w:space="0" w:color="auto"/>
            </w:tcBorders>
            <w:shd w:val="clear" w:color="000000" w:fill="4BACC6"/>
            <w:vAlign w:val="center"/>
            <w:hideMark/>
          </w:tcPr>
          <w:p w14:paraId="53A0C3FE" w14:textId="77777777" w:rsidR="00357FE6" w:rsidRPr="00140CAE" w:rsidRDefault="00357FE6" w:rsidP="00357FE6">
            <w:pPr>
              <w:spacing w:after="0"/>
              <w:jc w:val="center"/>
              <w:rPr>
                <w:rFonts w:ascii="Arial Narrow" w:hAnsi="Arial Narrow"/>
                <w:b/>
                <w:bCs/>
                <w:color w:val="FFFFFF"/>
                <w:szCs w:val="24"/>
                <w:lang w:eastAsia="en-AU"/>
              </w:rPr>
            </w:pPr>
            <w:r w:rsidRPr="00140CAE">
              <w:rPr>
                <w:rFonts w:ascii="Arial Narrow" w:hAnsi="Arial Narrow"/>
                <w:b/>
                <w:bCs/>
                <w:color w:val="FFFFFF"/>
                <w:szCs w:val="24"/>
                <w:lang w:eastAsia="en-AU"/>
              </w:rPr>
              <w:t>Status</w:t>
            </w:r>
          </w:p>
        </w:tc>
      </w:tr>
      <w:tr w:rsidR="00357FE6" w:rsidRPr="00140CAE" w14:paraId="453761C8" w14:textId="77777777" w:rsidTr="00BA2B79">
        <w:trPr>
          <w:trHeight w:val="499"/>
        </w:trPr>
        <w:tc>
          <w:tcPr>
            <w:tcW w:w="1501" w:type="pct"/>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645F05F8" w14:textId="77777777" w:rsidR="00357FE6" w:rsidRPr="00140CAE" w:rsidRDefault="00357FE6" w:rsidP="00357FE6">
            <w:pPr>
              <w:spacing w:after="0"/>
              <w:jc w:val="center"/>
              <w:rPr>
                <w:rFonts w:ascii="Arial Narrow" w:hAnsi="Arial Narrow"/>
                <w:color w:val="FFFFFF"/>
                <w:szCs w:val="24"/>
                <w:lang w:eastAsia="en-AU"/>
              </w:rPr>
            </w:pPr>
            <w:r w:rsidRPr="00140CAE">
              <w:rPr>
                <w:rFonts w:ascii="Arial Narrow" w:hAnsi="Arial Narrow"/>
                <w:color w:val="FFFFFF"/>
                <w:szCs w:val="24"/>
                <w:lang w:eastAsia="en-AU"/>
              </w:rPr>
              <w:t>Reactive maintenance</w:t>
            </w:r>
          </w:p>
        </w:tc>
        <w:tc>
          <w:tcPr>
            <w:tcW w:w="600" w:type="pct"/>
            <w:tcBorders>
              <w:top w:val="thinThickSmallGap" w:sz="24" w:space="0" w:color="auto"/>
              <w:left w:val="thinThickSmallGap" w:sz="24" w:space="0" w:color="auto"/>
              <w:bottom w:val="single" w:sz="8" w:space="0" w:color="FFFFFF"/>
              <w:right w:val="single" w:sz="8" w:space="0" w:color="FFFFFF"/>
            </w:tcBorders>
            <w:shd w:val="clear" w:color="000000" w:fill="92CDDC"/>
            <w:vAlign w:val="center"/>
            <w:hideMark/>
          </w:tcPr>
          <w:p w14:paraId="2C74E38C"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38.80%</w:t>
            </w:r>
          </w:p>
        </w:tc>
        <w:tc>
          <w:tcPr>
            <w:tcW w:w="600" w:type="pct"/>
            <w:tcBorders>
              <w:top w:val="thinThickSmallGap" w:sz="24" w:space="0" w:color="auto"/>
              <w:left w:val="nil"/>
              <w:bottom w:val="single" w:sz="8" w:space="0" w:color="FFFFFF"/>
              <w:right w:val="single" w:sz="8" w:space="0" w:color="FFFFFF"/>
            </w:tcBorders>
            <w:shd w:val="clear" w:color="000000" w:fill="92CDDC"/>
            <w:vAlign w:val="center"/>
            <w:hideMark/>
          </w:tcPr>
          <w:p w14:paraId="1B4A2D48"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27.10%</w:t>
            </w:r>
          </w:p>
        </w:tc>
        <w:tc>
          <w:tcPr>
            <w:tcW w:w="600" w:type="pct"/>
            <w:tcBorders>
              <w:top w:val="thinThickSmallGap" w:sz="24" w:space="0" w:color="auto"/>
              <w:left w:val="nil"/>
              <w:bottom w:val="single" w:sz="8" w:space="0" w:color="FFFFFF"/>
              <w:right w:val="single" w:sz="8" w:space="0" w:color="FFFFFF"/>
            </w:tcBorders>
            <w:shd w:val="clear" w:color="000000" w:fill="92CDDC"/>
            <w:vAlign w:val="center"/>
            <w:hideMark/>
          </w:tcPr>
          <w:p w14:paraId="07B7D836"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26.50%</w:t>
            </w:r>
          </w:p>
        </w:tc>
        <w:tc>
          <w:tcPr>
            <w:tcW w:w="600" w:type="pct"/>
            <w:tcBorders>
              <w:top w:val="thinThickSmallGap" w:sz="24" w:space="0" w:color="auto"/>
              <w:left w:val="nil"/>
              <w:bottom w:val="single" w:sz="8" w:space="0" w:color="FFFFFF"/>
              <w:right w:val="single" w:sz="8" w:space="0" w:color="FFFFFF"/>
            </w:tcBorders>
            <w:shd w:val="clear" w:color="000000" w:fill="92CDDC"/>
            <w:vAlign w:val="center"/>
            <w:hideMark/>
          </w:tcPr>
          <w:p w14:paraId="32EE33CF"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60.78%</w:t>
            </w:r>
          </w:p>
        </w:tc>
        <w:tc>
          <w:tcPr>
            <w:tcW w:w="600" w:type="pct"/>
            <w:tcBorders>
              <w:top w:val="thinThickSmallGap" w:sz="24" w:space="0" w:color="auto"/>
              <w:left w:val="nil"/>
              <w:bottom w:val="single" w:sz="8" w:space="0" w:color="FFFFFF"/>
              <w:right w:val="single" w:sz="8" w:space="0" w:color="FFFFFF"/>
            </w:tcBorders>
            <w:shd w:val="clear" w:color="000000" w:fill="92CDDC"/>
            <w:vAlign w:val="center"/>
            <w:hideMark/>
          </w:tcPr>
          <w:p w14:paraId="77465BC5" w14:textId="77777777" w:rsidR="00357FE6" w:rsidRPr="00140CAE" w:rsidRDefault="002A0208" w:rsidP="002A0208">
            <w:pPr>
              <w:spacing w:after="0"/>
              <w:jc w:val="center"/>
              <w:rPr>
                <w:rFonts w:ascii="Arial Narrow" w:hAnsi="Arial Narrow"/>
                <w:color w:val="000000"/>
                <w:szCs w:val="24"/>
                <w:lang w:eastAsia="en-AU"/>
              </w:rPr>
            </w:pPr>
            <w:r w:rsidRPr="00140CAE">
              <w:rPr>
                <w:rFonts w:ascii="Arial Narrow" w:hAnsi="Arial Narrow"/>
                <w:color w:val="000000"/>
                <w:szCs w:val="24"/>
                <w:lang w:eastAsia="en-AU"/>
              </w:rPr>
              <w:t>20.20</w:t>
            </w:r>
            <w:r w:rsidR="00357FE6" w:rsidRPr="00140CAE">
              <w:rPr>
                <w:rFonts w:ascii="Arial Narrow" w:hAnsi="Arial Narrow"/>
                <w:color w:val="000000"/>
                <w:szCs w:val="24"/>
                <w:lang w:eastAsia="en-AU"/>
              </w:rPr>
              <w:t>%</w:t>
            </w:r>
          </w:p>
        </w:tc>
        <w:tc>
          <w:tcPr>
            <w:tcW w:w="497" w:type="pct"/>
            <w:tcBorders>
              <w:top w:val="thinThickSmallGap" w:sz="24" w:space="0" w:color="auto"/>
              <w:left w:val="nil"/>
              <w:bottom w:val="single" w:sz="8" w:space="0" w:color="FFFFFF"/>
              <w:right w:val="single" w:sz="8" w:space="0" w:color="auto"/>
            </w:tcBorders>
            <w:shd w:val="clear" w:color="000000" w:fill="92CDDC"/>
            <w:vAlign w:val="center"/>
            <w:hideMark/>
          </w:tcPr>
          <w:p w14:paraId="613B9105" w14:textId="77777777" w:rsidR="00357FE6" w:rsidRPr="00140CAE" w:rsidRDefault="00357FE6" w:rsidP="00357FE6">
            <w:pPr>
              <w:spacing w:after="0"/>
              <w:jc w:val="left"/>
              <w:rPr>
                <w:rFonts w:ascii="Arial Narrow" w:hAnsi="Arial Narrow"/>
                <w:color w:val="000000"/>
                <w:szCs w:val="24"/>
                <w:lang w:eastAsia="en-AU"/>
              </w:rPr>
            </w:pPr>
            <w:r w:rsidRPr="00140CAE">
              <w:rPr>
                <w:rFonts w:ascii="Arial Narrow" w:hAnsi="Arial Narrow"/>
                <w:noProof/>
                <w:color w:val="000000"/>
                <w:szCs w:val="24"/>
                <w:lang w:eastAsia="en-AU"/>
              </w:rPr>
              <mc:AlternateContent>
                <mc:Choice Requires="wps">
                  <w:drawing>
                    <wp:anchor distT="0" distB="0" distL="114300" distR="114300" simplePos="0" relativeHeight="251628544" behindDoc="0" locked="0" layoutInCell="1" allowOverlap="1" wp14:anchorId="0872570E" wp14:editId="2582579B">
                      <wp:simplePos x="0" y="0"/>
                      <wp:positionH relativeFrom="column">
                        <wp:posOffset>209550</wp:posOffset>
                      </wp:positionH>
                      <wp:positionV relativeFrom="paragraph">
                        <wp:posOffset>85725</wp:posOffset>
                      </wp:positionV>
                      <wp:extent cx="180975" cy="161925"/>
                      <wp:effectExtent l="0" t="0" r="28575" b="28575"/>
                      <wp:wrapNone/>
                      <wp:docPr id="456" name="Flowchart: Connector 456"/>
                      <wp:cNvGraphicFramePr/>
                      <a:graphic xmlns:a="http://schemas.openxmlformats.org/drawingml/2006/main">
                        <a:graphicData uri="http://schemas.microsoft.com/office/word/2010/wordprocessingShape">
                          <wps:wsp>
                            <wps:cNvSpPr/>
                            <wps:spPr>
                              <a:xfrm>
                                <a:off x="0" y="0"/>
                                <a:ext cx="171450" cy="152400"/>
                              </a:xfrm>
                              <a:prstGeom prst="flowChartConnector">
                                <a:avLst/>
                              </a:prstGeom>
                              <a:solidFill>
                                <a:srgbClr val="9BBB59"/>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F89EDA" id="Flowchart: Connector 456" o:spid="_x0000_s1026" type="#_x0000_t120" style="position:absolute;margin-left:16.5pt;margin-top:6.75pt;width:14.25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" fillcolor="#9bbb59" strokecolor="windowText" strokeweight=".5pt"/>
                  </w:pict>
                </mc:Fallback>
              </mc:AlternateContent>
            </w:r>
          </w:p>
        </w:tc>
      </w:tr>
      <w:tr w:rsidR="00357FE6" w:rsidRPr="00140CAE" w14:paraId="4438012C" w14:textId="77777777" w:rsidTr="00BA2B79">
        <w:trPr>
          <w:trHeight w:val="499"/>
        </w:trPr>
        <w:tc>
          <w:tcPr>
            <w:tcW w:w="1501" w:type="pct"/>
            <w:tcBorders>
              <w:top w:val="single" w:sz="8" w:space="0" w:color="FFFFFF"/>
              <w:left w:val="single" w:sz="8" w:space="0" w:color="auto"/>
              <w:bottom w:val="single" w:sz="8" w:space="0" w:color="auto"/>
              <w:right w:val="thinThickSmallGap" w:sz="24" w:space="0" w:color="auto"/>
            </w:tcBorders>
            <w:shd w:val="clear" w:color="000000" w:fill="4BACC6"/>
            <w:vAlign w:val="center"/>
            <w:hideMark/>
          </w:tcPr>
          <w:p w14:paraId="78AEFDE2" w14:textId="77777777" w:rsidR="00357FE6" w:rsidRPr="00140CAE" w:rsidRDefault="00357FE6" w:rsidP="00357FE6">
            <w:pPr>
              <w:spacing w:after="0"/>
              <w:jc w:val="center"/>
              <w:rPr>
                <w:rFonts w:ascii="Arial Narrow" w:hAnsi="Arial Narrow"/>
                <w:color w:val="FFFFFF"/>
                <w:szCs w:val="24"/>
                <w:lang w:eastAsia="en-AU"/>
              </w:rPr>
            </w:pPr>
            <w:r w:rsidRPr="00140CAE">
              <w:rPr>
                <w:rFonts w:ascii="Arial Narrow" w:hAnsi="Arial Narrow"/>
                <w:color w:val="FFFFFF"/>
                <w:szCs w:val="24"/>
                <w:lang w:eastAsia="en-AU"/>
              </w:rPr>
              <w:t>Planned maintenance</w:t>
            </w:r>
          </w:p>
        </w:tc>
        <w:tc>
          <w:tcPr>
            <w:tcW w:w="600" w:type="pct"/>
            <w:tcBorders>
              <w:top w:val="single" w:sz="8" w:space="0" w:color="FFFFFF"/>
              <w:left w:val="thinThickSmallGap" w:sz="24" w:space="0" w:color="auto"/>
              <w:bottom w:val="single" w:sz="8" w:space="0" w:color="auto"/>
              <w:right w:val="single" w:sz="8" w:space="0" w:color="FFFFFF"/>
            </w:tcBorders>
            <w:shd w:val="clear" w:color="000000" w:fill="DAEEF3"/>
            <w:vAlign w:val="center"/>
            <w:hideMark/>
          </w:tcPr>
          <w:p w14:paraId="6C4ECB33"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61.20%</w:t>
            </w:r>
          </w:p>
        </w:tc>
        <w:tc>
          <w:tcPr>
            <w:tcW w:w="600" w:type="pct"/>
            <w:tcBorders>
              <w:top w:val="single" w:sz="8" w:space="0" w:color="FFFFFF"/>
              <w:left w:val="nil"/>
              <w:bottom w:val="single" w:sz="8" w:space="0" w:color="auto"/>
              <w:right w:val="single" w:sz="8" w:space="0" w:color="FFFFFF"/>
            </w:tcBorders>
            <w:shd w:val="clear" w:color="000000" w:fill="DAEEF3"/>
            <w:vAlign w:val="center"/>
            <w:hideMark/>
          </w:tcPr>
          <w:p w14:paraId="25D6465C"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72.90%</w:t>
            </w:r>
          </w:p>
        </w:tc>
        <w:tc>
          <w:tcPr>
            <w:tcW w:w="600" w:type="pct"/>
            <w:tcBorders>
              <w:top w:val="single" w:sz="8" w:space="0" w:color="FFFFFF"/>
              <w:left w:val="nil"/>
              <w:bottom w:val="single" w:sz="8" w:space="0" w:color="auto"/>
              <w:right w:val="single" w:sz="8" w:space="0" w:color="FFFFFF"/>
            </w:tcBorders>
            <w:shd w:val="clear" w:color="000000" w:fill="DAEEF3"/>
            <w:vAlign w:val="center"/>
            <w:hideMark/>
          </w:tcPr>
          <w:p w14:paraId="28560161"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73.50%</w:t>
            </w:r>
          </w:p>
        </w:tc>
        <w:tc>
          <w:tcPr>
            <w:tcW w:w="600" w:type="pct"/>
            <w:tcBorders>
              <w:top w:val="single" w:sz="8" w:space="0" w:color="FFFFFF"/>
              <w:left w:val="nil"/>
              <w:bottom w:val="single" w:sz="8" w:space="0" w:color="auto"/>
              <w:right w:val="single" w:sz="8" w:space="0" w:color="FFFFFF"/>
            </w:tcBorders>
            <w:shd w:val="clear" w:color="000000" w:fill="DAEEF3"/>
            <w:vAlign w:val="center"/>
            <w:hideMark/>
          </w:tcPr>
          <w:p w14:paraId="067FA46F"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39.22%</w:t>
            </w:r>
          </w:p>
        </w:tc>
        <w:tc>
          <w:tcPr>
            <w:tcW w:w="600" w:type="pct"/>
            <w:tcBorders>
              <w:top w:val="single" w:sz="8" w:space="0" w:color="FFFFFF"/>
              <w:left w:val="nil"/>
              <w:bottom w:val="single" w:sz="8" w:space="0" w:color="auto"/>
              <w:right w:val="single" w:sz="8" w:space="0" w:color="FFFFFF"/>
            </w:tcBorders>
            <w:shd w:val="clear" w:color="000000" w:fill="DAEEF3"/>
            <w:vAlign w:val="center"/>
            <w:hideMark/>
          </w:tcPr>
          <w:p w14:paraId="69D3E0A8" w14:textId="77777777" w:rsidR="00357FE6" w:rsidRPr="00140CAE" w:rsidRDefault="002A0208" w:rsidP="002A0208">
            <w:pPr>
              <w:spacing w:after="0"/>
              <w:jc w:val="center"/>
              <w:rPr>
                <w:rFonts w:ascii="Arial Narrow" w:hAnsi="Arial Narrow"/>
                <w:color w:val="000000"/>
                <w:szCs w:val="24"/>
                <w:lang w:eastAsia="en-AU"/>
              </w:rPr>
            </w:pPr>
            <w:r w:rsidRPr="00140CAE">
              <w:rPr>
                <w:rFonts w:ascii="Arial Narrow" w:hAnsi="Arial Narrow"/>
                <w:color w:val="000000"/>
                <w:szCs w:val="24"/>
                <w:lang w:eastAsia="en-AU"/>
              </w:rPr>
              <w:t>79.80</w:t>
            </w:r>
            <w:r w:rsidR="00357FE6" w:rsidRPr="00140CAE">
              <w:rPr>
                <w:rFonts w:ascii="Arial Narrow" w:hAnsi="Arial Narrow"/>
                <w:color w:val="000000"/>
                <w:szCs w:val="24"/>
                <w:lang w:eastAsia="en-AU"/>
              </w:rPr>
              <w:t>%</w:t>
            </w:r>
          </w:p>
        </w:tc>
        <w:tc>
          <w:tcPr>
            <w:tcW w:w="497" w:type="pct"/>
            <w:tcBorders>
              <w:top w:val="single" w:sz="8" w:space="0" w:color="FFFFFF"/>
              <w:left w:val="nil"/>
              <w:bottom w:val="single" w:sz="8" w:space="0" w:color="auto"/>
              <w:right w:val="single" w:sz="8" w:space="0" w:color="auto"/>
            </w:tcBorders>
            <w:shd w:val="clear" w:color="000000" w:fill="DAEEF3"/>
            <w:vAlign w:val="center"/>
            <w:hideMark/>
          </w:tcPr>
          <w:p w14:paraId="005E7EED" w14:textId="77777777" w:rsidR="00357FE6" w:rsidRPr="00140CAE" w:rsidRDefault="00357FE6" w:rsidP="00357FE6">
            <w:pPr>
              <w:spacing w:after="0"/>
              <w:jc w:val="center"/>
              <w:rPr>
                <w:rFonts w:ascii="Arial Narrow" w:hAnsi="Arial Narrow"/>
                <w:color w:val="000000"/>
                <w:szCs w:val="24"/>
                <w:lang w:eastAsia="en-AU"/>
              </w:rPr>
            </w:pPr>
            <w:r w:rsidRPr="00140CAE">
              <w:rPr>
                <w:rFonts w:ascii="Arial Narrow" w:hAnsi="Arial Narrow"/>
                <w:color w:val="000000"/>
                <w:szCs w:val="24"/>
                <w:lang w:eastAsia="en-AU"/>
              </w:rPr>
              <w:t> </w:t>
            </w:r>
          </w:p>
        </w:tc>
      </w:tr>
    </w:tbl>
    <w:p w14:paraId="3391BBDE" w14:textId="77777777" w:rsidR="00FD72BB" w:rsidRPr="00140CAE" w:rsidRDefault="00FD72BB" w:rsidP="00140CAE">
      <w:pPr>
        <w:pStyle w:val="Heading2"/>
        <w:rPr>
          <w:iCs w:val="0"/>
        </w:rPr>
      </w:pPr>
      <w:bookmarkStart w:id="16" w:name="_Toc56419058"/>
      <w:r w:rsidRPr="00140CAE">
        <w:rPr>
          <w:iCs w:val="0"/>
        </w:rPr>
        <w:t>3.</w:t>
      </w:r>
      <w:r w:rsidR="00CB721E" w:rsidRPr="00140CAE">
        <w:rPr>
          <w:iCs w:val="0"/>
        </w:rPr>
        <w:t>3</w:t>
      </w:r>
      <w:r w:rsidRPr="00140CAE">
        <w:rPr>
          <w:iCs w:val="0"/>
        </w:rPr>
        <w:tab/>
        <w:t>Enterprise Risk Management</w:t>
      </w:r>
      <w:bookmarkEnd w:id="16"/>
    </w:p>
    <w:p w14:paraId="78E1156D" w14:textId="77777777" w:rsidR="007C70D6" w:rsidRPr="00140CAE" w:rsidRDefault="007C70D6" w:rsidP="007C70D6">
      <w:pPr>
        <w:rPr>
          <w:rFonts w:cs="Arial"/>
          <w:bCs/>
          <w:szCs w:val="24"/>
        </w:rPr>
      </w:pPr>
      <w:r w:rsidRPr="00140CAE">
        <w:rPr>
          <w:rFonts w:cs="Arial"/>
          <w:bCs/>
          <w:szCs w:val="24"/>
        </w:rPr>
        <w:t>In 2015 the City implemented a Risk Management &amp; Safety System (RMSS) in which all operational and strategic risks are captured, rated and receive</w:t>
      </w:r>
      <w:r w:rsidR="00D4425C" w:rsidRPr="00140CAE">
        <w:rPr>
          <w:rFonts w:cs="Arial"/>
          <w:bCs/>
          <w:szCs w:val="24"/>
        </w:rPr>
        <w:t>s</w:t>
      </w:r>
      <w:r w:rsidRPr="00140CAE">
        <w:rPr>
          <w:rFonts w:cs="Arial"/>
          <w:bCs/>
          <w:szCs w:val="24"/>
        </w:rPr>
        <w:t xml:space="preserve"> ongoing monitoring based on their level of risk.</w:t>
      </w:r>
    </w:p>
    <w:p w14:paraId="6DFFF85F" w14:textId="77777777" w:rsidR="007C70D6" w:rsidRPr="00140CAE" w:rsidRDefault="007C70D6" w:rsidP="007C70D6">
      <w:pPr>
        <w:rPr>
          <w:rFonts w:cs="Arial"/>
          <w:bCs/>
          <w:szCs w:val="24"/>
        </w:rPr>
      </w:pPr>
      <w:r w:rsidRPr="00140CAE">
        <w:rPr>
          <w:rFonts w:cs="Arial"/>
          <w:bCs/>
          <w:szCs w:val="24"/>
        </w:rPr>
        <w:t xml:space="preserve">Additionally, in 2017 the Risk Management Framework was adopted with the aim of supporting an integrated and effective organisational wide approach to risk management. </w:t>
      </w:r>
    </w:p>
    <w:p w14:paraId="0FE8456F" w14:textId="77777777" w:rsidR="00C20556" w:rsidRPr="00140CAE" w:rsidRDefault="00C20556" w:rsidP="00C20556">
      <w:pPr>
        <w:rPr>
          <w:rFonts w:cs="Arial"/>
          <w:bCs/>
          <w:szCs w:val="24"/>
        </w:rPr>
      </w:pPr>
      <w:r w:rsidRPr="00140CAE">
        <w:rPr>
          <w:rFonts w:cs="Arial"/>
          <w:bCs/>
          <w:szCs w:val="24"/>
        </w:rPr>
        <w:t>The implementation of the Framework sought to:</w:t>
      </w:r>
    </w:p>
    <w:p w14:paraId="5CBC5C9C" w14:textId="77777777" w:rsidR="00C20556" w:rsidRPr="008763C1" w:rsidRDefault="00C20556" w:rsidP="00A06614">
      <w:pPr>
        <w:pStyle w:val="ListParagraph"/>
        <w:numPr>
          <w:ilvl w:val="0"/>
          <w:numId w:val="22"/>
        </w:numPr>
        <w:spacing w:after="200"/>
        <w:ind w:left="1434" w:hanging="357"/>
        <w:contextualSpacing w:val="0"/>
        <w:rPr>
          <w:rFonts w:cs="Arial"/>
          <w:bCs/>
          <w:iCs/>
          <w:szCs w:val="24"/>
        </w:rPr>
      </w:pPr>
      <w:r w:rsidRPr="008763C1">
        <w:rPr>
          <w:rFonts w:cs="Arial"/>
          <w:bCs/>
          <w:iCs/>
          <w:szCs w:val="24"/>
        </w:rPr>
        <w:lastRenderedPageBreak/>
        <w:t xml:space="preserve">Ensure a consistent approach to the risk management process across </w:t>
      </w:r>
      <w:proofErr w:type="gramStart"/>
      <w:r w:rsidRPr="008763C1">
        <w:rPr>
          <w:rFonts w:cs="Arial"/>
          <w:bCs/>
          <w:iCs/>
          <w:szCs w:val="24"/>
        </w:rPr>
        <w:t>Council;</w:t>
      </w:r>
      <w:proofErr w:type="gramEnd"/>
    </w:p>
    <w:p w14:paraId="4139A9BC" w14:textId="77777777" w:rsidR="00C20556" w:rsidRPr="008763C1" w:rsidRDefault="00C20556" w:rsidP="00A06614">
      <w:pPr>
        <w:pStyle w:val="ListParagraph"/>
        <w:numPr>
          <w:ilvl w:val="0"/>
          <w:numId w:val="22"/>
        </w:numPr>
        <w:spacing w:after="200"/>
        <w:ind w:left="1434" w:hanging="357"/>
        <w:contextualSpacing w:val="0"/>
        <w:rPr>
          <w:rFonts w:cs="Arial"/>
          <w:bCs/>
          <w:iCs/>
          <w:szCs w:val="24"/>
        </w:rPr>
      </w:pPr>
      <w:r w:rsidRPr="008763C1">
        <w:rPr>
          <w:rFonts w:cs="Arial"/>
          <w:bCs/>
          <w:iCs/>
          <w:szCs w:val="24"/>
        </w:rPr>
        <w:t xml:space="preserve">Establish a structured process for undertaking the risk management process to identify, assess and control/treat </w:t>
      </w:r>
      <w:proofErr w:type="gramStart"/>
      <w:r w:rsidRPr="008763C1">
        <w:rPr>
          <w:rFonts w:cs="Arial"/>
          <w:bCs/>
          <w:iCs/>
          <w:szCs w:val="24"/>
        </w:rPr>
        <w:t>risks;</w:t>
      </w:r>
      <w:proofErr w:type="gramEnd"/>
    </w:p>
    <w:p w14:paraId="5C315BB3" w14:textId="77777777" w:rsidR="00C20556" w:rsidRDefault="00C20556" w:rsidP="00A06614">
      <w:pPr>
        <w:pStyle w:val="ListParagraph"/>
        <w:numPr>
          <w:ilvl w:val="0"/>
          <w:numId w:val="22"/>
        </w:numPr>
        <w:spacing w:after="200"/>
        <w:ind w:left="1434" w:hanging="357"/>
        <w:contextualSpacing w:val="0"/>
        <w:rPr>
          <w:rFonts w:cs="Arial"/>
          <w:bCs/>
          <w:iCs/>
          <w:szCs w:val="24"/>
        </w:rPr>
      </w:pPr>
      <w:r w:rsidRPr="008763C1">
        <w:rPr>
          <w:rFonts w:cs="Arial"/>
          <w:bCs/>
          <w:iCs/>
          <w:szCs w:val="24"/>
        </w:rPr>
        <w:t>Encourage the integration of risk management into the strategic and operational process across all Business Units of the Council</w:t>
      </w:r>
    </w:p>
    <w:p w14:paraId="6C97CA07" w14:textId="77777777" w:rsidR="00F57100" w:rsidRDefault="0020345B" w:rsidP="00474BC1">
      <w:pPr>
        <w:pStyle w:val="Default"/>
        <w:jc w:val="both"/>
        <w:rPr>
          <w:bCs/>
          <w:iCs/>
        </w:rPr>
      </w:pPr>
      <w:r>
        <w:rPr>
          <w:bCs/>
          <w:iCs/>
        </w:rPr>
        <w:t xml:space="preserve">There are currently no Extreme </w:t>
      </w:r>
      <w:r w:rsidR="004A4F74">
        <w:rPr>
          <w:bCs/>
          <w:iCs/>
        </w:rPr>
        <w:t>and</w:t>
      </w:r>
      <w:r>
        <w:rPr>
          <w:bCs/>
          <w:iCs/>
        </w:rPr>
        <w:t xml:space="preserve"> High Risks associated </w:t>
      </w:r>
      <w:r w:rsidR="00F57100">
        <w:rPr>
          <w:bCs/>
          <w:iCs/>
        </w:rPr>
        <w:t>with</w:t>
      </w:r>
      <w:r>
        <w:rPr>
          <w:bCs/>
          <w:iCs/>
        </w:rPr>
        <w:t xml:space="preserve"> the Footpath Infrastructure</w:t>
      </w:r>
      <w:r w:rsidR="003620C9">
        <w:rPr>
          <w:bCs/>
          <w:iCs/>
        </w:rPr>
        <w:t xml:space="preserve"> only substantial risks as determined by the City’s risk register.</w:t>
      </w:r>
    </w:p>
    <w:p w14:paraId="162E4CE1" w14:textId="77777777" w:rsidR="004E43AD" w:rsidRDefault="004E43AD" w:rsidP="00474BC1">
      <w:pPr>
        <w:pStyle w:val="Default"/>
        <w:jc w:val="both"/>
        <w:rPr>
          <w:bCs/>
          <w:iCs/>
        </w:rPr>
      </w:pPr>
    </w:p>
    <w:p w14:paraId="09482198" w14:textId="77777777" w:rsidR="00F57100" w:rsidRPr="00140CAE" w:rsidRDefault="003620C9" w:rsidP="003620C9">
      <w:pPr>
        <w:keepNext/>
        <w:rPr>
          <w:bCs/>
          <w:iCs/>
          <w:color w:val="0070C0"/>
        </w:rPr>
      </w:pPr>
      <w:r w:rsidRPr="00140CAE">
        <w:rPr>
          <w:b/>
          <w:iCs/>
          <w:color w:val="0070C0"/>
          <w:szCs w:val="22"/>
        </w:rPr>
        <w:t>Table 3.3.1</w:t>
      </w:r>
      <w:r w:rsidRPr="00140CAE">
        <w:rPr>
          <w:b/>
          <w:iCs/>
          <w:color w:val="0070C0"/>
          <w:szCs w:val="22"/>
        </w:rPr>
        <w:tab/>
        <w:t>Substantial Risk and Existing Controls</w:t>
      </w:r>
    </w:p>
    <w:tbl>
      <w:tblPr>
        <w:tblW w:w="9360" w:type="dxa"/>
        <w:tblInd w:w="108" w:type="dxa"/>
        <w:tblLook w:val="04A0" w:firstRow="1" w:lastRow="0" w:firstColumn="1" w:lastColumn="0" w:noHBand="0" w:noVBand="1"/>
      </w:tblPr>
      <w:tblGrid>
        <w:gridCol w:w="3500"/>
        <w:gridCol w:w="1320"/>
        <w:gridCol w:w="3480"/>
        <w:gridCol w:w="1060"/>
      </w:tblGrid>
      <w:tr w:rsidR="00EA289E" w:rsidRPr="00E760B6" w14:paraId="455505FD" w14:textId="77777777" w:rsidTr="00BA2B79">
        <w:trPr>
          <w:trHeight w:val="799"/>
        </w:trPr>
        <w:tc>
          <w:tcPr>
            <w:tcW w:w="3500" w:type="dxa"/>
            <w:tcBorders>
              <w:top w:val="single" w:sz="8" w:space="0" w:color="auto"/>
              <w:left w:val="single" w:sz="8" w:space="0" w:color="auto"/>
              <w:bottom w:val="thinThickSmallGap" w:sz="24" w:space="0" w:color="auto"/>
              <w:right w:val="single" w:sz="8" w:space="0" w:color="FFFFFF" w:themeColor="background1"/>
            </w:tcBorders>
            <w:shd w:val="clear" w:color="000000" w:fill="4BACC6"/>
            <w:vAlign w:val="center"/>
            <w:hideMark/>
          </w:tcPr>
          <w:p w14:paraId="2F3D6D22" w14:textId="77777777" w:rsidR="00EA289E" w:rsidRPr="00E760B6" w:rsidRDefault="00EA289E" w:rsidP="00EA289E">
            <w:pPr>
              <w:spacing w:after="0" w:line="240" w:lineRule="auto"/>
              <w:jc w:val="center"/>
              <w:rPr>
                <w:rFonts w:ascii="Arial Narrow" w:hAnsi="Arial Narrow"/>
                <w:b/>
                <w:bCs/>
                <w:color w:val="FFFFFF"/>
                <w:sz w:val="22"/>
                <w:szCs w:val="22"/>
                <w:lang w:eastAsia="en-AU"/>
              </w:rPr>
            </w:pPr>
            <w:r w:rsidRPr="00E760B6">
              <w:rPr>
                <w:rFonts w:ascii="Arial Narrow" w:hAnsi="Arial Narrow"/>
                <w:b/>
                <w:bCs/>
                <w:color w:val="FFFFFF"/>
                <w:sz w:val="22"/>
                <w:szCs w:val="22"/>
                <w:lang w:eastAsia="en-AU"/>
              </w:rPr>
              <w:t>Risk Description</w:t>
            </w:r>
          </w:p>
        </w:tc>
        <w:tc>
          <w:tcPr>
            <w:tcW w:w="1320" w:type="dxa"/>
            <w:tcBorders>
              <w:top w:val="single" w:sz="8" w:space="0" w:color="auto"/>
              <w:left w:val="single" w:sz="8" w:space="0" w:color="FFFFFF" w:themeColor="background1"/>
              <w:bottom w:val="thinThickSmallGap" w:sz="24" w:space="0" w:color="auto"/>
              <w:right w:val="single" w:sz="8" w:space="0" w:color="FFFFFF" w:themeColor="background1"/>
            </w:tcBorders>
            <w:shd w:val="clear" w:color="000000" w:fill="4BACC6"/>
            <w:vAlign w:val="center"/>
            <w:hideMark/>
          </w:tcPr>
          <w:p w14:paraId="62906B92" w14:textId="77777777" w:rsidR="00EA289E" w:rsidRPr="00E760B6" w:rsidRDefault="00EA289E" w:rsidP="00EA289E">
            <w:pPr>
              <w:spacing w:after="0" w:line="240" w:lineRule="auto"/>
              <w:jc w:val="center"/>
              <w:rPr>
                <w:rFonts w:ascii="Arial Narrow" w:hAnsi="Arial Narrow"/>
                <w:b/>
                <w:bCs/>
                <w:color w:val="FFFFFF"/>
                <w:sz w:val="22"/>
                <w:szCs w:val="22"/>
                <w:lang w:eastAsia="en-AU"/>
              </w:rPr>
            </w:pPr>
            <w:r w:rsidRPr="00E760B6">
              <w:rPr>
                <w:rFonts w:ascii="Arial Narrow" w:hAnsi="Arial Narrow"/>
                <w:b/>
                <w:bCs/>
                <w:color w:val="FFFFFF"/>
                <w:sz w:val="22"/>
                <w:szCs w:val="22"/>
                <w:lang w:eastAsia="en-AU"/>
              </w:rPr>
              <w:t>Risk Rating</w:t>
            </w:r>
          </w:p>
        </w:tc>
        <w:tc>
          <w:tcPr>
            <w:tcW w:w="3480" w:type="dxa"/>
            <w:tcBorders>
              <w:top w:val="single" w:sz="8" w:space="0" w:color="auto"/>
              <w:left w:val="single" w:sz="8" w:space="0" w:color="FFFFFF" w:themeColor="background1"/>
              <w:bottom w:val="thinThickSmallGap" w:sz="24" w:space="0" w:color="auto"/>
              <w:right w:val="single" w:sz="8" w:space="0" w:color="FFFFFF" w:themeColor="background1"/>
            </w:tcBorders>
            <w:shd w:val="clear" w:color="000000" w:fill="4BACC6"/>
            <w:vAlign w:val="center"/>
            <w:hideMark/>
          </w:tcPr>
          <w:p w14:paraId="597B9F0C" w14:textId="77777777" w:rsidR="00EA289E" w:rsidRPr="00E760B6" w:rsidRDefault="00EA289E" w:rsidP="00EA289E">
            <w:pPr>
              <w:spacing w:after="0" w:line="240" w:lineRule="auto"/>
              <w:jc w:val="center"/>
              <w:rPr>
                <w:rFonts w:ascii="Arial Narrow" w:hAnsi="Arial Narrow"/>
                <w:b/>
                <w:bCs/>
                <w:color w:val="FFFFFF"/>
                <w:sz w:val="22"/>
                <w:szCs w:val="22"/>
                <w:lang w:eastAsia="en-AU"/>
              </w:rPr>
            </w:pPr>
            <w:r w:rsidRPr="00E760B6">
              <w:rPr>
                <w:rFonts w:ascii="Arial Narrow" w:hAnsi="Arial Narrow"/>
                <w:b/>
                <w:bCs/>
                <w:color w:val="FFFFFF"/>
                <w:sz w:val="22"/>
                <w:szCs w:val="22"/>
                <w:lang w:eastAsia="en-AU"/>
              </w:rPr>
              <w:t>Proposed Treatment</w:t>
            </w:r>
          </w:p>
        </w:tc>
        <w:tc>
          <w:tcPr>
            <w:tcW w:w="1060" w:type="dxa"/>
            <w:tcBorders>
              <w:top w:val="single" w:sz="8" w:space="0" w:color="auto"/>
              <w:left w:val="single" w:sz="8" w:space="0" w:color="FFFFFF" w:themeColor="background1"/>
              <w:bottom w:val="thinThickSmallGap" w:sz="24" w:space="0" w:color="auto"/>
              <w:right w:val="single" w:sz="8" w:space="0" w:color="auto"/>
            </w:tcBorders>
            <w:shd w:val="clear" w:color="000000" w:fill="4BACC6"/>
            <w:vAlign w:val="center"/>
            <w:hideMark/>
          </w:tcPr>
          <w:p w14:paraId="7691757C" w14:textId="77777777" w:rsidR="00EA289E" w:rsidRPr="00E760B6" w:rsidRDefault="00EA289E" w:rsidP="00EA289E">
            <w:pPr>
              <w:spacing w:after="0" w:line="240" w:lineRule="auto"/>
              <w:jc w:val="center"/>
              <w:rPr>
                <w:rFonts w:ascii="Arial Narrow" w:hAnsi="Arial Narrow"/>
                <w:b/>
                <w:bCs/>
                <w:color w:val="FFFFFF"/>
                <w:sz w:val="22"/>
                <w:szCs w:val="22"/>
                <w:lang w:eastAsia="en-AU"/>
              </w:rPr>
            </w:pPr>
            <w:r w:rsidRPr="00E760B6">
              <w:rPr>
                <w:rFonts w:ascii="Arial Narrow" w:hAnsi="Arial Narrow"/>
                <w:b/>
                <w:bCs/>
                <w:color w:val="FFFFFF"/>
                <w:sz w:val="22"/>
                <w:szCs w:val="22"/>
                <w:lang w:eastAsia="en-AU"/>
              </w:rPr>
              <w:t>Due Date</w:t>
            </w:r>
          </w:p>
        </w:tc>
      </w:tr>
      <w:tr w:rsidR="00EA289E" w:rsidRPr="00E760B6" w14:paraId="178E662B" w14:textId="77777777" w:rsidTr="00BA2B79">
        <w:trPr>
          <w:trHeight w:val="600"/>
        </w:trPr>
        <w:tc>
          <w:tcPr>
            <w:tcW w:w="3500" w:type="dxa"/>
            <w:vMerge w:val="restart"/>
            <w:tcBorders>
              <w:top w:val="thinThickSmallGap" w:sz="24" w:space="0" w:color="auto"/>
              <w:left w:val="single" w:sz="8" w:space="0" w:color="auto"/>
              <w:bottom w:val="single" w:sz="4" w:space="0" w:color="4BACC6"/>
              <w:right w:val="thinThickSmallGap" w:sz="24" w:space="0" w:color="auto"/>
            </w:tcBorders>
            <w:shd w:val="clear" w:color="000000" w:fill="B7DEE8"/>
            <w:vAlign w:val="center"/>
            <w:hideMark/>
          </w:tcPr>
          <w:p w14:paraId="69D3A322" w14:textId="77777777" w:rsidR="00EA289E" w:rsidRPr="00E760B6" w:rsidRDefault="00EA289E" w:rsidP="00360627">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Failure to adequately review and deliver the City's walking, cycling and trail network due to inadequate data, incorrect analysis of walking and cycling uses, inaccuracy in prioritising the network upgrade, lack of resources, human error and inadequate funding.</w:t>
            </w:r>
          </w:p>
        </w:tc>
        <w:tc>
          <w:tcPr>
            <w:tcW w:w="1320" w:type="dxa"/>
            <w:vMerge w:val="restart"/>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000000" w:fill="B6DDE8"/>
            <w:vAlign w:val="center"/>
            <w:hideMark/>
          </w:tcPr>
          <w:p w14:paraId="77264297"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Substantial</w:t>
            </w:r>
          </w:p>
        </w:tc>
        <w:tc>
          <w:tcPr>
            <w:tcW w:w="3480"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11D582A2"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1. Use of external funding</w:t>
            </w:r>
          </w:p>
        </w:tc>
        <w:tc>
          <w:tcPr>
            <w:tcW w:w="1060" w:type="dxa"/>
            <w:vMerge w:val="restart"/>
            <w:tcBorders>
              <w:top w:val="thinThickSmallGap" w:sz="24" w:space="0" w:color="auto"/>
              <w:left w:val="single" w:sz="8" w:space="0" w:color="FFFFFF" w:themeColor="background1"/>
              <w:bottom w:val="single" w:sz="8" w:space="0" w:color="FFFFFF" w:themeColor="background1"/>
              <w:right w:val="single" w:sz="8" w:space="0" w:color="auto"/>
            </w:tcBorders>
            <w:shd w:val="clear" w:color="000000" w:fill="B6DDE8"/>
            <w:vAlign w:val="center"/>
            <w:hideMark/>
          </w:tcPr>
          <w:p w14:paraId="47014A5B"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Ongoing</w:t>
            </w:r>
          </w:p>
        </w:tc>
      </w:tr>
      <w:tr w:rsidR="00EA289E" w:rsidRPr="00E760B6" w14:paraId="0EEE11DD"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4CF242AE"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04F4FCDC"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459529C3"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2. City's walking, cycling and trail plan</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066FED45"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472142D8"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5E2FFBB0"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71D775D0"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71CF9576"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3. Stakeholders consultation</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43A5B518"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24A50562"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620E2C3D"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54C3FCD8"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7DC7DEC1"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4. Engage an external consultant and contractors</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77B98EB7"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6F0C3504"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69CC40AA"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5BD99F36"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46BDB235"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5. Peer review</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766A820D"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67C6F9F4" w14:textId="77777777" w:rsidTr="00BA2B79">
        <w:trPr>
          <w:trHeight w:val="1140"/>
        </w:trPr>
        <w:tc>
          <w:tcPr>
            <w:tcW w:w="3500" w:type="dxa"/>
            <w:tcBorders>
              <w:top w:val="single" w:sz="8" w:space="0" w:color="FFFFFF" w:themeColor="background1"/>
              <w:left w:val="single" w:sz="8" w:space="0" w:color="auto"/>
              <w:bottom w:val="single" w:sz="4" w:space="0" w:color="4BACC6"/>
              <w:right w:val="thinThickSmallGap" w:sz="24" w:space="0" w:color="auto"/>
            </w:tcBorders>
            <w:shd w:val="clear" w:color="000000" w:fill="DAEEF3"/>
            <w:vAlign w:val="center"/>
            <w:hideMark/>
          </w:tcPr>
          <w:p w14:paraId="425AC3E1"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Footpath not compliant to disability access guidelines leading to complains and reconstruction</w:t>
            </w:r>
          </w:p>
        </w:tc>
        <w:tc>
          <w:tcPr>
            <w:tcW w:w="1320"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000000" w:fill="DAEEF3"/>
            <w:vAlign w:val="center"/>
            <w:hideMark/>
          </w:tcPr>
          <w:p w14:paraId="2F195818"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Substantial</w:t>
            </w: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EEF3"/>
            <w:vAlign w:val="center"/>
            <w:hideMark/>
          </w:tcPr>
          <w:p w14:paraId="7A5563E3"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1. Consultation and design as per disability access standards.</w:t>
            </w:r>
          </w:p>
        </w:tc>
        <w:tc>
          <w:tcPr>
            <w:tcW w:w="1060"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DAEEF3"/>
            <w:noWrap/>
            <w:vAlign w:val="center"/>
            <w:hideMark/>
          </w:tcPr>
          <w:p w14:paraId="38E5ED22"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Ongoing</w:t>
            </w:r>
          </w:p>
        </w:tc>
      </w:tr>
      <w:tr w:rsidR="00EA289E" w:rsidRPr="00E760B6" w14:paraId="1D4CF0B5" w14:textId="77777777" w:rsidTr="00BA2B79">
        <w:trPr>
          <w:trHeight w:val="600"/>
        </w:trPr>
        <w:tc>
          <w:tcPr>
            <w:tcW w:w="3500" w:type="dxa"/>
            <w:vMerge w:val="restart"/>
            <w:tcBorders>
              <w:top w:val="single" w:sz="8" w:space="0" w:color="FFFFFF" w:themeColor="background1"/>
              <w:left w:val="single" w:sz="8" w:space="0" w:color="auto"/>
              <w:bottom w:val="single" w:sz="4" w:space="0" w:color="4BACC6"/>
              <w:right w:val="thinThickSmallGap" w:sz="24" w:space="0" w:color="auto"/>
            </w:tcBorders>
            <w:shd w:val="clear" w:color="000000" w:fill="B6DDE8"/>
            <w:vAlign w:val="center"/>
            <w:hideMark/>
          </w:tcPr>
          <w:p w14:paraId="57700637"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Footpath trip hazard causing injury, legal action, financial impact and reputation damage.</w:t>
            </w:r>
          </w:p>
        </w:tc>
        <w:tc>
          <w:tcPr>
            <w:tcW w:w="1320" w:type="dxa"/>
            <w:vMerge w:val="restart"/>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000000" w:fill="B6DDE8"/>
            <w:noWrap/>
            <w:vAlign w:val="center"/>
            <w:hideMark/>
          </w:tcPr>
          <w:p w14:paraId="7FAB607E"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Substantial</w:t>
            </w: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6CA1ACEB"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1. Sign Off process</w:t>
            </w:r>
          </w:p>
        </w:tc>
        <w:tc>
          <w:tcPr>
            <w:tcW w:w="1060" w:type="dxa"/>
            <w:vMerge w:val="restart"/>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B6DDE8"/>
            <w:noWrap/>
            <w:vAlign w:val="center"/>
            <w:hideMark/>
          </w:tcPr>
          <w:p w14:paraId="1173A9FC"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Ongoing</w:t>
            </w:r>
          </w:p>
        </w:tc>
      </w:tr>
      <w:tr w:rsidR="00EA289E" w:rsidRPr="00E760B6" w14:paraId="0F6C30BE"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2BBB0029"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4001E568"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3CAAFAF"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2. Membership of peak bodies</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31C28B71"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06EF30FF"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44968F76"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5F0A82AC"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3143F466"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3. Relationship with Main Roads and other stakeholders</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1703C6D2"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52AFC474" w14:textId="77777777" w:rsidTr="00BA2B79">
        <w:trPr>
          <w:trHeight w:val="600"/>
        </w:trPr>
        <w:tc>
          <w:tcPr>
            <w:tcW w:w="3500" w:type="dxa"/>
            <w:vMerge/>
            <w:tcBorders>
              <w:top w:val="single" w:sz="8" w:space="0" w:color="FFFFFF" w:themeColor="background1"/>
              <w:left w:val="single" w:sz="8" w:space="0" w:color="auto"/>
              <w:bottom w:val="single" w:sz="4" w:space="0" w:color="4BACC6"/>
              <w:right w:val="thinThickSmallGap" w:sz="24" w:space="0" w:color="auto"/>
            </w:tcBorders>
            <w:vAlign w:val="center"/>
            <w:hideMark/>
          </w:tcPr>
          <w:p w14:paraId="21375DC9"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1320" w:type="dxa"/>
            <w:vMerge/>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hideMark/>
          </w:tcPr>
          <w:p w14:paraId="6415B5DE" w14:textId="77777777" w:rsidR="00EA289E" w:rsidRPr="00E760B6" w:rsidRDefault="00EA289E" w:rsidP="00EA289E">
            <w:pPr>
              <w:spacing w:after="0" w:line="240" w:lineRule="auto"/>
              <w:jc w:val="left"/>
              <w:rPr>
                <w:rFonts w:ascii="Arial Narrow" w:hAnsi="Arial Narrow" w:cs="Arial"/>
                <w:color w:val="000000"/>
                <w:szCs w:val="24"/>
                <w:lang w:eastAsia="en-AU"/>
              </w:rPr>
            </w:pP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vAlign w:val="center"/>
            <w:hideMark/>
          </w:tcPr>
          <w:p w14:paraId="2FEEFB4A"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4. Road Safety Audit</w:t>
            </w:r>
          </w:p>
        </w:tc>
        <w:tc>
          <w:tcPr>
            <w:tcW w:w="106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vAlign w:val="center"/>
            <w:hideMark/>
          </w:tcPr>
          <w:p w14:paraId="7E2B0019" w14:textId="77777777" w:rsidR="00EA289E" w:rsidRPr="00E760B6" w:rsidRDefault="00EA289E" w:rsidP="00EA289E">
            <w:pPr>
              <w:spacing w:after="0" w:line="240" w:lineRule="auto"/>
              <w:jc w:val="left"/>
              <w:rPr>
                <w:rFonts w:ascii="Arial Narrow" w:hAnsi="Arial Narrow" w:cs="Arial"/>
                <w:color w:val="000000"/>
                <w:szCs w:val="24"/>
                <w:lang w:eastAsia="en-AU"/>
              </w:rPr>
            </w:pPr>
          </w:p>
        </w:tc>
      </w:tr>
      <w:tr w:rsidR="00EA289E" w:rsidRPr="00E760B6" w14:paraId="0AB7B022" w14:textId="77777777" w:rsidTr="00360627">
        <w:trPr>
          <w:trHeight w:val="600"/>
        </w:trPr>
        <w:tc>
          <w:tcPr>
            <w:tcW w:w="3500" w:type="dxa"/>
            <w:vMerge w:val="restart"/>
            <w:tcBorders>
              <w:top w:val="single" w:sz="8" w:space="0" w:color="FFFFFF" w:themeColor="background1"/>
              <w:left w:val="single" w:sz="8" w:space="0" w:color="auto"/>
              <w:bottom w:val="single" w:sz="4" w:space="0" w:color="4BACC6"/>
              <w:right w:val="thinThickSmallGap" w:sz="24" w:space="0" w:color="auto"/>
            </w:tcBorders>
            <w:shd w:val="clear" w:color="000000" w:fill="DAEEF3"/>
            <w:vAlign w:val="center"/>
            <w:hideMark/>
          </w:tcPr>
          <w:p w14:paraId="3C107C45"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Failure to plan for the future maintenance and the path assets resulting in asset failure and service delivery delay</w:t>
            </w:r>
          </w:p>
        </w:tc>
        <w:tc>
          <w:tcPr>
            <w:tcW w:w="1320" w:type="dxa"/>
            <w:vMerge w:val="restart"/>
            <w:tcBorders>
              <w:top w:val="single" w:sz="8" w:space="0" w:color="FFFFFF" w:themeColor="background1"/>
              <w:left w:val="thinThickSmallGap" w:sz="24" w:space="0" w:color="auto"/>
              <w:bottom w:val="nil"/>
              <w:right w:val="single" w:sz="8" w:space="0" w:color="FFFFFF" w:themeColor="background1"/>
            </w:tcBorders>
            <w:shd w:val="clear" w:color="000000" w:fill="DAEEF3"/>
            <w:noWrap/>
            <w:vAlign w:val="center"/>
            <w:hideMark/>
          </w:tcPr>
          <w:p w14:paraId="5F7C2CA5"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Substantial</w:t>
            </w:r>
          </w:p>
        </w:tc>
        <w:tc>
          <w:tcPr>
            <w:tcW w:w="3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EEF3"/>
            <w:vAlign w:val="center"/>
            <w:hideMark/>
          </w:tcPr>
          <w:p w14:paraId="39C99E04"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1. Supporting the City's Asset Management team</w:t>
            </w:r>
          </w:p>
        </w:tc>
        <w:tc>
          <w:tcPr>
            <w:tcW w:w="1060" w:type="dxa"/>
            <w:vMerge w:val="restart"/>
            <w:tcBorders>
              <w:top w:val="single" w:sz="8" w:space="0" w:color="FFFFFF" w:themeColor="background1"/>
              <w:left w:val="single" w:sz="8" w:space="0" w:color="FFFFFF" w:themeColor="background1"/>
              <w:bottom w:val="single" w:sz="4" w:space="0" w:color="4BACC6"/>
              <w:right w:val="single" w:sz="8" w:space="0" w:color="auto"/>
            </w:tcBorders>
            <w:shd w:val="clear" w:color="000000" w:fill="DAEEF3"/>
            <w:noWrap/>
            <w:vAlign w:val="center"/>
            <w:hideMark/>
          </w:tcPr>
          <w:p w14:paraId="06BFE4C3" w14:textId="77777777" w:rsidR="00EA289E" w:rsidRPr="00E760B6" w:rsidRDefault="00EA289E" w:rsidP="00EA289E">
            <w:pPr>
              <w:spacing w:after="0" w:line="240" w:lineRule="auto"/>
              <w:jc w:val="center"/>
              <w:rPr>
                <w:rFonts w:ascii="Arial Narrow" w:hAnsi="Arial Narrow" w:cs="Arial"/>
                <w:color w:val="000000"/>
                <w:szCs w:val="24"/>
                <w:lang w:eastAsia="en-AU"/>
              </w:rPr>
            </w:pPr>
            <w:r w:rsidRPr="00E760B6">
              <w:rPr>
                <w:rFonts w:ascii="Arial Narrow" w:hAnsi="Arial Narrow" w:cs="Arial"/>
                <w:color w:val="000000"/>
                <w:szCs w:val="24"/>
                <w:lang w:eastAsia="en-AU"/>
              </w:rPr>
              <w:t>Ongoing</w:t>
            </w:r>
          </w:p>
        </w:tc>
      </w:tr>
      <w:tr w:rsidR="00EA289E" w:rsidRPr="00E760B6" w14:paraId="6C7A0833" w14:textId="77777777" w:rsidTr="00360627">
        <w:trPr>
          <w:trHeight w:val="600"/>
        </w:trPr>
        <w:tc>
          <w:tcPr>
            <w:tcW w:w="3500" w:type="dxa"/>
            <w:vMerge/>
            <w:tcBorders>
              <w:top w:val="single" w:sz="8" w:space="0" w:color="FFFFFF" w:themeColor="background1"/>
              <w:left w:val="single" w:sz="8" w:space="0" w:color="auto"/>
              <w:bottom w:val="single" w:sz="8" w:space="0" w:color="auto"/>
              <w:right w:val="thinThickSmallGap" w:sz="24" w:space="0" w:color="auto"/>
            </w:tcBorders>
            <w:vAlign w:val="center"/>
            <w:hideMark/>
          </w:tcPr>
          <w:p w14:paraId="43ECD108" w14:textId="77777777" w:rsidR="00EA289E" w:rsidRPr="00E760B6" w:rsidRDefault="00EA289E" w:rsidP="00EA289E">
            <w:pPr>
              <w:spacing w:after="0" w:line="240" w:lineRule="auto"/>
              <w:jc w:val="left"/>
              <w:rPr>
                <w:rFonts w:ascii="Arial Narrow" w:hAnsi="Arial Narrow" w:cs="Arial"/>
                <w:color w:val="000000"/>
                <w:sz w:val="22"/>
                <w:szCs w:val="22"/>
                <w:lang w:eastAsia="en-AU"/>
              </w:rPr>
            </w:pPr>
          </w:p>
        </w:tc>
        <w:tc>
          <w:tcPr>
            <w:tcW w:w="1320" w:type="dxa"/>
            <w:vMerge/>
            <w:tcBorders>
              <w:top w:val="nil"/>
              <w:left w:val="thinThickSmallGap" w:sz="24" w:space="0" w:color="auto"/>
              <w:bottom w:val="single" w:sz="8" w:space="0" w:color="auto"/>
              <w:right w:val="single" w:sz="8" w:space="0" w:color="FFFFFF" w:themeColor="background1"/>
            </w:tcBorders>
            <w:vAlign w:val="center"/>
            <w:hideMark/>
          </w:tcPr>
          <w:p w14:paraId="6F1C0116" w14:textId="77777777" w:rsidR="00EA289E" w:rsidRPr="00E760B6" w:rsidRDefault="00EA289E" w:rsidP="00EA289E">
            <w:pPr>
              <w:spacing w:after="0" w:line="240" w:lineRule="auto"/>
              <w:jc w:val="left"/>
              <w:rPr>
                <w:rFonts w:ascii="Arial Narrow" w:hAnsi="Arial Narrow" w:cs="Arial"/>
                <w:color w:val="000000"/>
                <w:sz w:val="22"/>
                <w:szCs w:val="22"/>
                <w:lang w:eastAsia="en-AU"/>
              </w:rPr>
            </w:pPr>
          </w:p>
        </w:tc>
        <w:tc>
          <w:tcPr>
            <w:tcW w:w="348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000000" w:fill="DAEEF3"/>
            <w:vAlign w:val="center"/>
            <w:hideMark/>
          </w:tcPr>
          <w:p w14:paraId="20629963" w14:textId="77777777" w:rsidR="00EA289E" w:rsidRPr="00E760B6" w:rsidRDefault="00EA289E" w:rsidP="00EA289E">
            <w:pPr>
              <w:spacing w:after="0" w:line="240" w:lineRule="auto"/>
              <w:jc w:val="left"/>
              <w:rPr>
                <w:rFonts w:ascii="Arial Narrow" w:hAnsi="Arial Narrow" w:cs="Arial"/>
                <w:color w:val="000000"/>
                <w:szCs w:val="24"/>
                <w:lang w:eastAsia="en-AU"/>
              </w:rPr>
            </w:pPr>
            <w:r w:rsidRPr="00E760B6">
              <w:rPr>
                <w:rFonts w:ascii="Arial Narrow" w:hAnsi="Arial Narrow" w:cs="Arial"/>
                <w:color w:val="000000"/>
                <w:szCs w:val="24"/>
                <w:lang w:eastAsia="en-AU"/>
              </w:rPr>
              <w:t>2. Reviewing process, engage an external consultant</w:t>
            </w:r>
          </w:p>
        </w:tc>
        <w:tc>
          <w:tcPr>
            <w:tcW w:w="1060" w:type="dxa"/>
            <w:vMerge/>
            <w:tcBorders>
              <w:top w:val="nil"/>
              <w:left w:val="single" w:sz="8" w:space="0" w:color="FFFFFF" w:themeColor="background1"/>
              <w:bottom w:val="single" w:sz="8" w:space="0" w:color="auto"/>
              <w:right w:val="single" w:sz="8" w:space="0" w:color="auto"/>
            </w:tcBorders>
            <w:vAlign w:val="center"/>
            <w:hideMark/>
          </w:tcPr>
          <w:p w14:paraId="01A33021" w14:textId="77777777" w:rsidR="00EA289E" w:rsidRPr="00E760B6" w:rsidRDefault="00EA289E" w:rsidP="00EA289E">
            <w:pPr>
              <w:spacing w:after="0" w:line="240" w:lineRule="auto"/>
              <w:jc w:val="left"/>
              <w:rPr>
                <w:rFonts w:ascii="Arial Narrow" w:hAnsi="Arial Narrow" w:cs="Arial"/>
                <w:color w:val="000000"/>
                <w:sz w:val="22"/>
                <w:szCs w:val="22"/>
                <w:lang w:eastAsia="en-AU"/>
              </w:rPr>
            </w:pPr>
          </w:p>
        </w:tc>
      </w:tr>
    </w:tbl>
    <w:p w14:paraId="20997ECC" w14:textId="77777777" w:rsidR="00027C4E" w:rsidRDefault="00027C4E" w:rsidP="00A050AE">
      <w:pPr>
        <w:pStyle w:val="Default"/>
        <w:jc w:val="both"/>
      </w:pPr>
    </w:p>
    <w:p w14:paraId="3BA21746" w14:textId="77777777" w:rsidR="00474BC1" w:rsidRDefault="00474BC1" w:rsidP="00A050AE">
      <w:pPr>
        <w:pStyle w:val="Default"/>
        <w:jc w:val="both"/>
      </w:pPr>
      <w:r w:rsidRPr="0094715A">
        <w:t>The City uses a matrix based approach when addressing risk leve</w:t>
      </w:r>
      <w:r>
        <w:t xml:space="preserve">l, treatment and responsibility as </w:t>
      </w:r>
      <w:r w:rsidRPr="0094715A">
        <w:t>detailed in Table 3.3.</w:t>
      </w:r>
      <w:r w:rsidR="003620C9">
        <w:t>2</w:t>
      </w:r>
      <w:r>
        <w:t>.</w:t>
      </w:r>
    </w:p>
    <w:p w14:paraId="5463B6FD" w14:textId="77777777" w:rsidR="00F57100" w:rsidRDefault="00F57100" w:rsidP="00A050AE">
      <w:pPr>
        <w:pStyle w:val="Default"/>
        <w:sectPr w:rsidR="00F57100" w:rsidSect="00D95710">
          <w:headerReference w:type="first" r:id="rId19"/>
          <w:pgSz w:w="11907" w:h="16840" w:code="9"/>
          <w:pgMar w:top="1135" w:right="1440" w:bottom="1440" w:left="1440" w:header="624" w:footer="510" w:gutter="0"/>
          <w:pgNumType w:start="1"/>
          <w:cols w:space="720"/>
          <w:docGrid w:linePitch="360"/>
        </w:sectPr>
      </w:pPr>
    </w:p>
    <w:p w14:paraId="106FEA98" w14:textId="77777777" w:rsidR="00474BC1" w:rsidRPr="00140CAE" w:rsidRDefault="00474BC1" w:rsidP="00616E47">
      <w:pPr>
        <w:keepNext/>
        <w:rPr>
          <w:b/>
          <w:iCs/>
          <w:color w:val="0070C0"/>
          <w:szCs w:val="22"/>
        </w:rPr>
      </w:pPr>
      <w:r w:rsidRPr="00140CAE">
        <w:rPr>
          <w:b/>
          <w:iCs/>
          <w:color w:val="0070C0"/>
          <w:szCs w:val="22"/>
        </w:rPr>
        <w:lastRenderedPageBreak/>
        <w:t>Table 3.3.</w:t>
      </w:r>
      <w:r w:rsidR="003620C9" w:rsidRPr="00140CAE">
        <w:rPr>
          <w:b/>
          <w:iCs/>
          <w:color w:val="0070C0"/>
          <w:szCs w:val="22"/>
        </w:rPr>
        <w:t>2</w:t>
      </w:r>
      <w:r w:rsidRPr="00140CAE">
        <w:rPr>
          <w:b/>
          <w:iCs/>
          <w:color w:val="0070C0"/>
          <w:szCs w:val="22"/>
        </w:rPr>
        <w:tab/>
        <w:t>Risk Treatment Matrix</w:t>
      </w:r>
    </w:p>
    <w:tbl>
      <w:tblPr>
        <w:tblW w:w="5368" w:type="pct"/>
        <w:tblInd w:w="-318" w:type="dxa"/>
        <w:tblLayout w:type="fixed"/>
        <w:tblLook w:val="04A0" w:firstRow="1" w:lastRow="0" w:firstColumn="1" w:lastColumn="0" w:noHBand="0" w:noVBand="1"/>
      </w:tblPr>
      <w:tblGrid>
        <w:gridCol w:w="2084"/>
        <w:gridCol w:w="871"/>
        <w:gridCol w:w="4435"/>
        <w:gridCol w:w="5674"/>
        <w:gridCol w:w="2155"/>
      </w:tblGrid>
      <w:tr w:rsidR="00E12743" w:rsidRPr="00E12743" w14:paraId="327CA639" w14:textId="77777777" w:rsidTr="00360627">
        <w:trPr>
          <w:cantSplit/>
          <w:trHeight w:val="436"/>
          <w:tblHeader/>
        </w:trPr>
        <w:tc>
          <w:tcPr>
            <w:tcW w:w="6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3087852A" w14:textId="77777777" w:rsidR="00E12743" w:rsidRPr="00542ADA" w:rsidRDefault="00E12743" w:rsidP="00E12743">
            <w:pPr>
              <w:spacing w:line="240" w:lineRule="auto"/>
              <w:jc w:val="center"/>
              <w:rPr>
                <w:rFonts w:ascii="Arial Narrow" w:hAnsi="Arial Narrow" w:cs="Arial"/>
                <w:b/>
                <w:bCs/>
                <w:color w:val="FFFFFF" w:themeColor="background1"/>
                <w:szCs w:val="22"/>
                <w:lang w:val="en-US"/>
              </w:rPr>
            </w:pPr>
            <w:r w:rsidRPr="00542ADA">
              <w:rPr>
                <w:rFonts w:ascii="Arial Narrow" w:hAnsi="Arial Narrow" w:cs="Arial"/>
                <w:b/>
                <w:bCs/>
                <w:color w:val="FFFFFF" w:themeColor="background1"/>
                <w:szCs w:val="22"/>
                <w:lang w:val="en-US"/>
              </w:rPr>
              <w:t>Risk Level</w:t>
            </w:r>
          </w:p>
        </w:tc>
        <w:tc>
          <w:tcPr>
            <w:tcW w:w="286"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A0C5BB9" w14:textId="77777777" w:rsidR="00E12743" w:rsidRPr="00542ADA" w:rsidRDefault="00E12743" w:rsidP="00E12743">
            <w:pPr>
              <w:spacing w:line="240" w:lineRule="auto"/>
              <w:jc w:val="center"/>
              <w:rPr>
                <w:rFonts w:ascii="Arial Narrow" w:hAnsi="Arial Narrow" w:cs="Arial"/>
                <w:b/>
                <w:bCs/>
                <w:color w:val="FFFFFF" w:themeColor="background1"/>
                <w:szCs w:val="22"/>
                <w:lang w:val="en-US"/>
              </w:rPr>
            </w:pPr>
            <w:r w:rsidRPr="00542ADA">
              <w:rPr>
                <w:rFonts w:ascii="Arial Narrow" w:hAnsi="Arial Narrow" w:cs="Arial"/>
                <w:b/>
                <w:bCs/>
                <w:color w:val="FFFFFF" w:themeColor="background1"/>
                <w:szCs w:val="22"/>
                <w:lang w:val="en-US"/>
              </w:rPr>
              <w:t>Code</w:t>
            </w:r>
          </w:p>
        </w:tc>
        <w:tc>
          <w:tcPr>
            <w:tcW w:w="145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7279C47" w14:textId="77777777" w:rsidR="00E12743" w:rsidRPr="00542ADA" w:rsidRDefault="00E12743" w:rsidP="00E12743">
            <w:pPr>
              <w:spacing w:line="240" w:lineRule="auto"/>
              <w:jc w:val="center"/>
              <w:rPr>
                <w:rFonts w:ascii="Arial Narrow" w:hAnsi="Arial Narrow" w:cs="Arial"/>
                <w:b/>
                <w:bCs/>
                <w:color w:val="FFFFFF" w:themeColor="background1"/>
                <w:szCs w:val="22"/>
                <w:lang w:val="en-US"/>
              </w:rPr>
            </w:pPr>
            <w:r w:rsidRPr="00542ADA">
              <w:rPr>
                <w:rFonts w:ascii="Arial Narrow" w:hAnsi="Arial Narrow" w:cs="Arial"/>
                <w:b/>
                <w:bCs/>
                <w:color w:val="FFFFFF" w:themeColor="background1"/>
                <w:szCs w:val="22"/>
                <w:lang w:val="en-US"/>
              </w:rPr>
              <w:t>Criteria</w:t>
            </w:r>
          </w:p>
        </w:tc>
        <w:tc>
          <w:tcPr>
            <w:tcW w:w="1864"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5A321FE" w14:textId="77777777" w:rsidR="00E12743" w:rsidRPr="00542ADA" w:rsidRDefault="00E12743" w:rsidP="00E12743">
            <w:pPr>
              <w:spacing w:line="240" w:lineRule="auto"/>
              <w:jc w:val="center"/>
              <w:rPr>
                <w:rFonts w:ascii="Arial Narrow" w:hAnsi="Arial Narrow" w:cs="Arial"/>
                <w:b/>
                <w:bCs/>
                <w:color w:val="FFFFFF" w:themeColor="background1"/>
                <w:szCs w:val="22"/>
                <w:lang w:val="en-US"/>
              </w:rPr>
            </w:pPr>
            <w:r w:rsidRPr="00542ADA">
              <w:rPr>
                <w:rFonts w:ascii="Arial Narrow" w:hAnsi="Arial Narrow" w:cs="Arial"/>
                <w:b/>
                <w:bCs/>
                <w:color w:val="FFFFFF" w:themeColor="background1"/>
                <w:szCs w:val="22"/>
                <w:lang w:val="en-US"/>
              </w:rPr>
              <w:t>Treatment</w:t>
            </w:r>
          </w:p>
        </w:tc>
        <w:tc>
          <w:tcPr>
            <w:tcW w:w="708"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E5BCAB7" w14:textId="77777777" w:rsidR="00E12743" w:rsidRPr="00542ADA" w:rsidRDefault="00E12743" w:rsidP="00E12743">
            <w:pPr>
              <w:spacing w:line="240" w:lineRule="auto"/>
              <w:jc w:val="left"/>
              <w:rPr>
                <w:rFonts w:ascii="Arial Narrow" w:hAnsi="Arial Narrow" w:cs="Arial"/>
                <w:b/>
                <w:bCs/>
                <w:color w:val="FFFFFF" w:themeColor="background1"/>
                <w:szCs w:val="22"/>
                <w:lang w:val="en-US"/>
              </w:rPr>
            </w:pPr>
            <w:r w:rsidRPr="00542ADA">
              <w:rPr>
                <w:rFonts w:ascii="Arial Narrow" w:hAnsi="Arial Narrow" w:cs="Arial"/>
                <w:b/>
                <w:bCs/>
                <w:color w:val="FFFFFF" w:themeColor="background1"/>
                <w:szCs w:val="22"/>
                <w:lang w:val="en-US"/>
              </w:rPr>
              <w:t>Responsibility</w:t>
            </w:r>
          </w:p>
        </w:tc>
      </w:tr>
      <w:tr w:rsidR="00E12743" w:rsidRPr="00E12743" w14:paraId="3A636422" w14:textId="77777777" w:rsidTr="00360627">
        <w:trPr>
          <w:cantSplit/>
          <w:trHeight w:val="60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7301A714" w14:textId="77777777" w:rsidR="00E12743" w:rsidRPr="00542ADA" w:rsidRDefault="00E12743" w:rsidP="00E12743">
            <w:pPr>
              <w:spacing w:line="240" w:lineRule="auto"/>
              <w:rPr>
                <w:rFonts w:ascii="Arial Narrow" w:hAnsi="Arial Narrow" w:cs="Arial"/>
                <w:b/>
                <w:bCs/>
                <w:color w:val="FFFFFF"/>
                <w:sz w:val="22"/>
                <w:lang w:val="en-US"/>
              </w:rPr>
            </w:pPr>
            <w:r w:rsidRPr="00542ADA">
              <w:rPr>
                <w:rFonts w:ascii="Arial Narrow" w:hAnsi="Arial Narrow" w:cs="Arial"/>
                <w:b/>
                <w:bCs/>
                <w:sz w:val="22"/>
                <w:lang w:val="en-US"/>
              </w:rPr>
              <w:t>LOW</w:t>
            </w:r>
          </w:p>
        </w:tc>
        <w:tc>
          <w:tcPr>
            <w:tcW w:w="286" w:type="pct"/>
            <w:tcBorders>
              <w:top w:val="nil"/>
              <w:left w:val="nil"/>
              <w:bottom w:val="single" w:sz="4" w:space="0" w:color="auto"/>
              <w:right w:val="single" w:sz="4" w:space="0" w:color="auto"/>
            </w:tcBorders>
            <w:shd w:val="clear" w:color="000000" w:fill="00B0F0"/>
            <w:noWrap/>
            <w:vAlign w:val="center"/>
            <w:hideMark/>
          </w:tcPr>
          <w:p w14:paraId="2173AA52" w14:textId="77777777" w:rsidR="00E12743" w:rsidRPr="00542ADA" w:rsidRDefault="00E12743" w:rsidP="00E12743">
            <w:pPr>
              <w:spacing w:line="240" w:lineRule="auto"/>
              <w:jc w:val="center"/>
              <w:rPr>
                <w:rFonts w:ascii="Arial Narrow" w:hAnsi="Arial Narrow" w:cs="Arial"/>
                <w:sz w:val="22"/>
                <w:lang w:val="en-US"/>
              </w:rPr>
            </w:pPr>
            <w:r w:rsidRPr="00542ADA">
              <w:rPr>
                <w:rFonts w:ascii="Arial Narrow" w:hAnsi="Arial Narrow" w:cs="Arial"/>
                <w:sz w:val="22"/>
                <w:lang w:val="en-US"/>
              </w:rPr>
              <w:t>L</w:t>
            </w:r>
          </w:p>
        </w:tc>
        <w:tc>
          <w:tcPr>
            <w:tcW w:w="1457" w:type="pct"/>
            <w:tcBorders>
              <w:top w:val="nil"/>
              <w:left w:val="nil"/>
              <w:bottom w:val="single" w:sz="4" w:space="0" w:color="auto"/>
              <w:right w:val="single" w:sz="4" w:space="0" w:color="auto"/>
            </w:tcBorders>
            <w:shd w:val="clear" w:color="auto" w:fill="auto"/>
            <w:noWrap/>
            <w:vAlign w:val="center"/>
            <w:hideMark/>
          </w:tcPr>
          <w:p w14:paraId="6D59CF99"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Risk acceptable with adequate controls, managed by routine procedures. Subject to annual monitoring or continuous review throughout project lifecycle.</w:t>
            </w:r>
          </w:p>
        </w:tc>
        <w:tc>
          <w:tcPr>
            <w:tcW w:w="1864" w:type="pct"/>
            <w:tcBorders>
              <w:top w:val="nil"/>
              <w:left w:val="nil"/>
              <w:bottom w:val="single" w:sz="4" w:space="0" w:color="auto"/>
              <w:right w:val="single" w:sz="4" w:space="0" w:color="auto"/>
            </w:tcBorders>
            <w:shd w:val="clear" w:color="auto" w:fill="auto"/>
            <w:vAlign w:val="center"/>
            <w:hideMark/>
          </w:tcPr>
          <w:p w14:paraId="297E092F"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Management through routine operations/project, Risk Registers to be updated.</w:t>
            </w:r>
          </w:p>
        </w:tc>
        <w:tc>
          <w:tcPr>
            <w:tcW w:w="708" w:type="pct"/>
            <w:tcBorders>
              <w:top w:val="nil"/>
              <w:left w:val="nil"/>
              <w:bottom w:val="single" w:sz="4" w:space="0" w:color="auto"/>
              <w:right w:val="single" w:sz="4" w:space="0" w:color="auto"/>
            </w:tcBorders>
            <w:shd w:val="clear" w:color="auto" w:fill="auto"/>
            <w:vAlign w:val="center"/>
            <w:hideMark/>
          </w:tcPr>
          <w:p w14:paraId="6333196D" w14:textId="77777777" w:rsidR="00E12743" w:rsidRPr="00542ADA" w:rsidRDefault="00E12743" w:rsidP="00E12743">
            <w:pPr>
              <w:spacing w:line="240" w:lineRule="auto"/>
              <w:jc w:val="left"/>
              <w:rPr>
                <w:rFonts w:ascii="Arial Narrow" w:hAnsi="Arial Narrow" w:cs="Arial"/>
                <w:sz w:val="22"/>
                <w:lang w:val="en-US"/>
              </w:rPr>
            </w:pPr>
            <w:r w:rsidRPr="00542ADA">
              <w:rPr>
                <w:rFonts w:ascii="Arial Narrow" w:hAnsi="Arial Narrow" w:cs="Arial"/>
                <w:sz w:val="22"/>
                <w:lang w:val="en-US"/>
              </w:rPr>
              <w:t>Service Unit Manager/Project Manager</w:t>
            </w:r>
          </w:p>
        </w:tc>
      </w:tr>
      <w:tr w:rsidR="00E12743" w:rsidRPr="00E12743" w14:paraId="22DFA290" w14:textId="77777777" w:rsidTr="00360627">
        <w:trPr>
          <w:cantSplit/>
          <w:trHeight w:val="90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120537A8" w14:textId="77777777" w:rsidR="00E12743" w:rsidRPr="00542ADA" w:rsidRDefault="00E12743" w:rsidP="00E12743">
            <w:pPr>
              <w:spacing w:line="240" w:lineRule="auto"/>
              <w:rPr>
                <w:rFonts w:ascii="Arial Narrow" w:hAnsi="Arial Narrow" w:cs="Arial"/>
                <w:b/>
                <w:bCs/>
                <w:color w:val="FFFFFF"/>
                <w:sz w:val="22"/>
                <w:lang w:val="en-US"/>
              </w:rPr>
            </w:pPr>
            <w:r w:rsidRPr="00542ADA">
              <w:rPr>
                <w:rFonts w:ascii="Arial Narrow" w:hAnsi="Arial Narrow" w:cs="Arial"/>
                <w:b/>
                <w:bCs/>
                <w:sz w:val="22"/>
                <w:lang w:val="en-US"/>
              </w:rPr>
              <w:t>MODERATE</w:t>
            </w:r>
          </w:p>
        </w:tc>
        <w:tc>
          <w:tcPr>
            <w:tcW w:w="286" w:type="pct"/>
            <w:tcBorders>
              <w:top w:val="nil"/>
              <w:left w:val="nil"/>
              <w:bottom w:val="single" w:sz="4" w:space="0" w:color="auto"/>
              <w:right w:val="single" w:sz="4" w:space="0" w:color="auto"/>
            </w:tcBorders>
            <w:shd w:val="clear" w:color="000000" w:fill="92D050"/>
            <w:noWrap/>
            <w:vAlign w:val="center"/>
            <w:hideMark/>
          </w:tcPr>
          <w:p w14:paraId="6D34F08F" w14:textId="77777777" w:rsidR="00E12743" w:rsidRPr="00542ADA" w:rsidRDefault="00E12743" w:rsidP="00E12743">
            <w:pPr>
              <w:spacing w:line="240" w:lineRule="auto"/>
              <w:jc w:val="center"/>
              <w:rPr>
                <w:rFonts w:ascii="Arial Narrow" w:hAnsi="Arial Narrow" w:cs="Arial"/>
                <w:sz w:val="22"/>
                <w:lang w:val="en-US"/>
              </w:rPr>
            </w:pPr>
            <w:r w:rsidRPr="00542ADA">
              <w:rPr>
                <w:rFonts w:ascii="Arial Narrow" w:hAnsi="Arial Narrow" w:cs="Arial"/>
                <w:sz w:val="22"/>
                <w:lang w:val="en-US"/>
              </w:rPr>
              <w:t>M</w:t>
            </w:r>
          </w:p>
        </w:tc>
        <w:tc>
          <w:tcPr>
            <w:tcW w:w="1457" w:type="pct"/>
            <w:tcBorders>
              <w:top w:val="nil"/>
              <w:left w:val="nil"/>
              <w:bottom w:val="single" w:sz="4" w:space="0" w:color="auto"/>
              <w:right w:val="single" w:sz="4" w:space="0" w:color="auto"/>
            </w:tcBorders>
            <w:shd w:val="clear" w:color="auto" w:fill="auto"/>
            <w:noWrap/>
            <w:vAlign w:val="center"/>
            <w:hideMark/>
          </w:tcPr>
          <w:p w14:paraId="22FD978F"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Risk acceptable with adequate controls, managed by specific procedures. Subject to semi- annual monitoring or continuous review throughout project lifecycle.</w:t>
            </w:r>
          </w:p>
        </w:tc>
        <w:tc>
          <w:tcPr>
            <w:tcW w:w="1864" w:type="pct"/>
            <w:tcBorders>
              <w:top w:val="nil"/>
              <w:left w:val="nil"/>
              <w:bottom w:val="single" w:sz="4" w:space="0" w:color="auto"/>
              <w:right w:val="single" w:sz="4" w:space="0" w:color="auto"/>
            </w:tcBorders>
            <w:shd w:val="clear" w:color="auto" w:fill="auto"/>
            <w:vAlign w:val="center"/>
            <w:hideMark/>
          </w:tcPr>
          <w:p w14:paraId="75AC1B4B"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Communication and awareness of increasing risk provided to SM, Risk Registers to be updated.</w:t>
            </w:r>
          </w:p>
        </w:tc>
        <w:tc>
          <w:tcPr>
            <w:tcW w:w="708" w:type="pct"/>
            <w:tcBorders>
              <w:top w:val="nil"/>
              <w:left w:val="nil"/>
              <w:bottom w:val="single" w:sz="4" w:space="0" w:color="auto"/>
              <w:right w:val="single" w:sz="4" w:space="0" w:color="auto"/>
            </w:tcBorders>
            <w:shd w:val="clear" w:color="auto" w:fill="auto"/>
            <w:vAlign w:val="center"/>
            <w:hideMark/>
          </w:tcPr>
          <w:p w14:paraId="669FFDFC" w14:textId="77777777" w:rsidR="00E12743" w:rsidRPr="00542ADA" w:rsidRDefault="00E12743" w:rsidP="00E12743">
            <w:pPr>
              <w:spacing w:line="240" w:lineRule="auto"/>
              <w:jc w:val="left"/>
              <w:rPr>
                <w:rFonts w:ascii="Arial Narrow" w:hAnsi="Arial Narrow" w:cs="Arial"/>
                <w:sz w:val="22"/>
                <w:lang w:val="en-US"/>
              </w:rPr>
            </w:pPr>
            <w:r w:rsidRPr="00542ADA">
              <w:rPr>
                <w:rFonts w:ascii="Arial Narrow" w:hAnsi="Arial Narrow" w:cs="Arial"/>
                <w:sz w:val="22"/>
                <w:lang w:val="en-US"/>
              </w:rPr>
              <w:t>Senior Manager/Project Manager</w:t>
            </w:r>
          </w:p>
        </w:tc>
      </w:tr>
      <w:tr w:rsidR="00E12743" w:rsidRPr="00E12743" w14:paraId="300D2232" w14:textId="77777777" w:rsidTr="00360627">
        <w:trPr>
          <w:cantSplit/>
          <w:trHeight w:val="90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786C2502" w14:textId="77777777" w:rsidR="00E12743" w:rsidRPr="00542ADA" w:rsidRDefault="00E12743" w:rsidP="00E12743">
            <w:pPr>
              <w:spacing w:line="240" w:lineRule="auto"/>
              <w:rPr>
                <w:rFonts w:ascii="Arial Narrow" w:hAnsi="Arial Narrow" w:cs="Arial"/>
                <w:b/>
                <w:bCs/>
                <w:color w:val="FFFFFF"/>
                <w:sz w:val="22"/>
                <w:lang w:val="en-US"/>
              </w:rPr>
            </w:pPr>
            <w:r w:rsidRPr="00542ADA">
              <w:rPr>
                <w:rFonts w:ascii="Arial Narrow" w:hAnsi="Arial Narrow" w:cs="Arial"/>
                <w:b/>
                <w:bCs/>
                <w:sz w:val="22"/>
                <w:lang w:val="en-US"/>
              </w:rPr>
              <w:t>SUBSTANTIAL</w:t>
            </w:r>
          </w:p>
        </w:tc>
        <w:tc>
          <w:tcPr>
            <w:tcW w:w="286" w:type="pct"/>
            <w:tcBorders>
              <w:top w:val="nil"/>
              <w:left w:val="nil"/>
              <w:bottom w:val="single" w:sz="4" w:space="0" w:color="auto"/>
              <w:right w:val="single" w:sz="4" w:space="0" w:color="auto"/>
            </w:tcBorders>
            <w:shd w:val="clear" w:color="000000" w:fill="FFFF00"/>
            <w:noWrap/>
            <w:vAlign w:val="center"/>
            <w:hideMark/>
          </w:tcPr>
          <w:p w14:paraId="67D4AE7E" w14:textId="77777777" w:rsidR="00E12743" w:rsidRPr="00542ADA" w:rsidRDefault="00E12743" w:rsidP="00E12743">
            <w:pPr>
              <w:spacing w:line="240" w:lineRule="auto"/>
              <w:jc w:val="center"/>
              <w:rPr>
                <w:rFonts w:ascii="Arial Narrow" w:hAnsi="Arial Narrow" w:cs="Arial"/>
                <w:sz w:val="22"/>
                <w:lang w:val="en-US"/>
              </w:rPr>
            </w:pPr>
            <w:r w:rsidRPr="00542ADA">
              <w:rPr>
                <w:rFonts w:ascii="Arial Narrow" w:hAnsi="Arial Narrow" w:cs="Arial"/>
                <w:sz w:val="22"/>
                <w:lang w:val="en-US"/>
              </w:rPr>
              <w:t>S</w:t>
            </w:r>
          </w:p>
        </w:tc>
        <w:tc>
          <w:tcPr>
            <w:tcW w:w="1457" w:type="pct"/>
            <w:tcBorders>
              <w:top w:val="nil"/>
              <w:left w:val="nil"/>
              <w:bottom w:val="single" w:sz="4" w:space="0" w:color="auto"/>
              <w:right w:val="single" w:sz="4" w:space="0" w:color="auto"/>
            </w:tcBorders>
            <w:shd w:val="clear" w:color="auto" w:fill="auto"/>
            <w:noWrap/>
            <w:vAlign w:val="center"/>
            <w:hideMark/>
          </w:tcPr>
          <w:p w14:paraId="6536FFD9"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Accepted with detailed review and assessment. Action Plan prepared and continuous review.</w:t>
            </w:r>
          </w:p>
        </w:tc>
        <w:tc>
          <w:tcPr>
            <w:tcW w:w="1864" w:type="pct"/>
            <w:tcBorders>
              <w:top w:val="nil"/>
              <w:left w:val="nil"/>
              <w:bottom w:val="single" w:sz="4" w:space="0" w:color="auto"/>
              <w:right w:val="single" w:sz="4" w:space="0" w:color="auto"/>
            </w:tcBorders>
            <w:shd w:val="clear" w:color="auto" w:fill="auto"/>
            <w:vAlign w:val="center"/>
            <w:hideMark/>
          </w:tcPr>
          <w:p w14:paraId="0A020D24"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Assess impact of competing Service Unit/Business Unit Projects. Potential redirect of Service Unit/Business Unit resources. Risk registers to be updated.</w:t>
            </w:r>
          </w:p>
        </w:tc>
        <w:tc>
          <w:tcPr>
            <w:tcW w:w="708" w:type="pct"/>
            <w:tcBorders>
              <w:top w:val="nil"/>
              <w:left w:val="nil"/>
              <w:bottom w:val="single" w:sz="4" w:space="0" w:color="auto"/>
              <w:right w:val="single" w:sz="4" w:space="0" w:color="auto"/>
            </w:tcBorders>
            <w:shd w:val="clear" w:color="auto" w:fill="auto"/>
            <w:vAlign w:val="center"/>
            <w:hideMark/>
          </w:tcPr>
          <w:p w14:paraId="0BBEC15F" w14:textId="77777777" w:rsidR="00E12743" w:rsidRPr="00542ADA" w:rsidRDefault="00E12743" w:rsidP="00E12743">
            <w:pPr>
              <w:spacing w:line="240" w:lineRule="auto"/>
              <w:jc w:val="left"/>
              <w:rPr>
                <w:rFonts w:ascii="Arial Narrow" w:hAnsi="Arial Narrow" w:cs="Arial"/>
                <w:sz w:val="22"/>
                <w:lang w:val="en-US"/>
              </w:rPr>
            </w:pPr>
            <w:r w:rsidRPr="00542ADA">
              <w:rPr>
                <w:rFonts w:ascii="Arial Narrow" w:hAnsi="Arial Narrow" w:cs="Arial"/>
                <w:sz w:val="22"/>
                <w:lang w:val="en-US"/>
              </w:rPr>
              <w:t>Director/Steering Committee</w:t>
            </w:r>
          </w:p>
        </w:tc>
      </w:tr>
      <w:tr w:rsidR="00E12743" w:rsidRPr="00E12743" w14:paraId="2179451A" w14:textId="77777777" w:rsidTr="00360627">
        <w:trPr>
          <w:cantSplit/>
          <w:trHeight w:val="90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02E592FD" w14:textId="77777777" w:rsidR="00E12743" w:rsidRPr="00542ADA" w:rsidRDefault="00E12743" w:rsidP="00E12743">
            <w:pPr>
              <w:spacing w:line="240" w:lineRule="auto"/>
              <w:rPr>
                <w:rFonts w:ascii="Arial Narrow" w:hAnsi="Arial Narrow" w:cs="Arial"/>
                <w:b/>
                <w:bCs/>
                <w:color w:val="FFFFFF"/>
                <w:sz w:val="22"/>
                <w:lang w:val="en-US"/>
              </w:rPr>
            </w:pPr>
            <w:r w:rsidRPr="00542ADA">
              <w:rPr>
                <w:rFonts w:ascii="Arial Narrow" w:hAnsi="Arial Narrow" w:cs="Arial"/>
                <w:b/>
                <w:bCs/>
                <w:sz w:val="22"/>
                <w:lang w:val="en-US"/>
              </w:rPr>
              <w:t>HIGH</w:t>
            </w:r>
          </w:p>
        </w:tc>
        <w:tc>
          <w:tcPr>
            <w:tcW w:w="286" w:type="pct"/>
            <w:tcBorders>
              <w:top w:val="nil"/>
              <w:left w:val="nil"/>
              <w:bottom w:val="single" w:sz="4" w:space="0" w:color="auto"/>
              <w:right w:val="single" w:sz="4" w:space="0" w:color="auto"/>
            </w:tcBorders>
            <w:shd w:val="clear" w:color="000000" w:fill="FFC000"/>
            <w:noWrap/>
            <w:vAlign w:val="center"/>
            <w:hideMark/>
          </w:tcPr>
          <w:p w14:paraId="3C449794" w14:textId="77777777" w:rsidR="00E12743" w:rsidRPr="00542ADA" w:rsidRDefault="00E12743" w:rsidP="00E12743">
            <w:pPr>
              <w:spacing w:line="240" w:lineRule="auto"/>
              <w:jc w:val="center"/>
              <w:rPr>
                <w:rFonts w:ascii="Arial Narrow" w:hAnsi="Arial Narrow" w:cs="Arial"/>
                <w:sz w:val="22"/>
                <w:lang w:val="en-US"/>
              </w:rPr>
            </w:pPr>
            <w:r w:rsidRPr="00542ADA">
              <w:rPr>
                <w:rFonts w:ascii="Arial Narrow" w:hAnsi="Arial Narrow" w:cs="Arial"/>
                <w:sz w:val="22"/>
                <w:lang w:val="en-US"/>
              </w:rPr>
              <w:t>H</w:t>
            </w:r>
          </w:p>
        </w:tc>
        <w:tc>
          <w:tcPr>
            <w:tcW w:w="1457" w:type="pct"/>
            <w:tcBorders>
              <w:top w:val="nil"/>
              <w:left w:val="nil"/>
              <w:bottom w:val="single" w:sz="4" w:space="0" w:color="auto"/>
              <w:right w:val="single" w:sz="4" w:space="0" w:color="auto"/>
            </w:tcBorders>
            <w:shd w:val="clear" w:color="auto" w:fill="auto"/>
            <w:noWrap/>
            <w:vAlign w:val="center"/>
            <w:hideMark/>
          </w:tcPr>
          <w:p w14:paraId="2E77CDEE"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Risk acceptable with effective controls, managed by senior management/executive. Subject to quarterly monitoring or continuous review throughout project lifecycle.</w:t>
            </w:r>
          </w:p>
        </w:tc>
        <w:tc>
          <w:tcPr>
            <w:tcW w:w="1864" w:type="pct"/>
            <w:tcBorders>
              <w:top w:val="nil"/>
              <w:left w:val="nil"/>
              <w:bottom w:val="single" w:sz="4" w:space="0" w:color="auto"/>
              <w:right w:val="single" w:sz="4" w:space="0" w:color="auto"/>
            </w:tcBorders>
            <w:shd w:val="clear" w:color="auto" w:fill="auto"/>
            <w:vAlign w:val="center"/>
            <w:hideMark/>
          </w:tcPr>
          <w:p w14:paraId="4523E0AD"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Escalate to CEO, report prepared for Audit &amp; Strategic Finance Committee. Quarterly monitoring and review required. Risk Registers to be updated.</w:t>
            </w:r>
          </w:p>
        </w:tc>
        <w:tc>
          <w:tcPr>
            <w:tcW w:w="708" w:type="pct"/>
            <w:tcBorders>
              <w:top w:val="nil"/>
              <w:left w:val="nil"/>
              <w:bottom w:val="single" w:sz="4" w:space="0" w:color="auto"/>
              <w:right w:val="single" w:sz="4" w:space="0" w:color="auto"/>
            </w:tcBorders>
            <w:shd w:val="clear" w:color="auto" w:fill="auto"/>
            <w:vAlign w:val="center"/>
            <w:hideMark/>
          </w:tcPr>
          <w:p w14:paraId="0C6F360D" w14:textId="77777777" w:rsidR="00E12743" w:rsidRPr="00542ADA" w:rsidRDefault="00E12743" w:rsidP="00E12743">
            <w:pPr>
              <w:spacing w:line="240" w:lineRule="auto"/>
              <w:jc w:val="left"/>
              <w:rPr>
                <w:rFonts w:ascii="Arial Narrow" w:hAnsi="Arial Narrow" w:cs="Arial"/>
                <w:sz w:val="22"/>
                <w:lang w:val="en-US"/>
              </w:rPr>
            </w:pPr>
            <w:r w:rsidRPr="00542ADA">
              <w:rPr>
                <w:rFonts w:ascii="Arial Narrow" w:hAnsi="Arial Narrow" w:cs="Arial"/>
                <w:sz w:val="22"/>
                <w:lang w:val="en-US"/>
              </w:rPr>
              <w:t>Executive/ Steering Committee/Project Sponsor</w:t>
            </w:r>
          </w:p>
        </w:tc>
      </w:tr>
      <w:tr w:rsidR="00E12743" w:rsidRPr="00E12743" w14:paraId="4F8F0306" w14:textId="77777777" w:rsidTr="00360627">
        <w:trPr>
          <w:cantSplit/>
          <w:trHeight w:val="90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445CA8A6" w14:textId="77777777" w:rsidR="00E12743" w:rsidRPr="00542ADA" w:rsidRDefault="00E12743" w:rsidP="00E12743">
            <w:pPr>
              <w:spacing w:line="240" w:lineRule="auto"/>
              <w:rPr>
                <w:rFonts w:ascii="Arial Narrow" w:hAnsi="Arial Narrow" w:cs="Arial"/>
                <w:b/>
                <w:bCs/>
                <w:color w:val="FFFFFF"/>
                <w:sz w:val="22"/>
                <w:lang w:val="en-US"/>
              </w:rPr>
            </w:pPr>
            <w:r w:rsidRPr="00542ADA">
              <w:rPr>
                <w:rFonts w:ascii="Arial Narrow" w:hAnsi="Arial Narrow" w:cs="Arial"/>
                <w:b/>
                <w:bCs/>
                <w:sz w:val="22"/>
                <w:lang w:val="en-US"/>
              </w:rPr>
              <w:t>EXTREME</w:t>
            </w:r>
          </w:p>
        </w:tc>
        <w:tc>
          <w:tcPr>
            <w:tcW w:w="286" w:type="pct"/>
            <w:tcBorders>
              <w:top w:val="nil"/>
              <w:left w:val="nil"/>
              <w:bottom w:val="single" w:sz="4" w:space="0" w:color="auto"/>
              <w:right w:val="single" w:sz="4" w:space="0" w:color="auto"/>
            </w:tcBorders>
            <w:shd w:val="clear" w:color="000000" w:fill="FF0000"/>
            <w:noWrap/>
            <w:vAlign w:val="center"/>
            <w:hideMark/>
          </w:tcPr>
          <w:p w14:paraId="31BEB69B" w14:textId="77777777" w:rsidR="00E12743" w:rsidRPr="00542ADA" w:rsidRDefault="00E12743" w:rsidP="00E12743">
            <w:pPr>
              <w:spacing w:line="240" w:lineRule="auto"/>
              <w:jc w:val="center"/>
              <w:rPr>
                <w:rFonts w:ascii="Arial Narrow" w:hAnsi="Arial Narrow" w:cs="Arial"/>
                <w:sz w:val="22"/>
                <w:lang w:val="en-US"/>
              </w:rPr>
            </w:pPr>
            <w:r w:rsidRPr="00542ADA">
              <w:rPr>
                <w:rFonts w:ascii="Arial Narrow" w:hAnsi="Arial Narrow" w:cs="Arial"/>
                <w:sz w:val="22"/>
                <w:lang w:val="en-US"/>
              </w:rPr>
              <w:t>E</w:t>
            </w:r>
          </w:p>
        </w:tc>
        <w:tc>
          <w:tcPr>
            <w:tcW w:w="1457" w:type="pct"/>
            <w:tcBorders>
              <w:top w:val="nil"/>
              <w:left w:val="nil"/>
              <w:bottom w:val="single" w:sz="4" w:space="0" w:color="auto"/>
              <w:right w:val="single" w:sz="4" w:space="0" w:color="auto"/>
            </w:tcBorders>
            <w:shd w:val="clear" w:color="auto" w:fill="auto"/>
            <w:noWrap/>
            <w:vAlign w:val="center"/>
            <w:hideMark/>
          </w:tcPr>
          <w:p w14:paraId="7C702B07"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Risk only acceptable with effective controls and all treatment plans to be explored and implemented where possible, managed by highest level of authority and subject to continuous monitoring.</w:t>
            </w:r>
          </w:p>
        </w:tc>
        <w:tc>
          <w:tcPr>
            <w:tcW w:w="1864" w:type="pct"/>
            <w:tcBorders>
              <w:top w:val="nil"/>
              <w:left w:val="nil"/>
              <w:bottom w:val="single" w:sz="4" w:space="0" w:color="auto"/>
              <w:right w:val="single" w:sz="4" w:space="0" w:color="auto"/>
            </w:tcBorders>
            <w:shd w:val="clear" w:color="auto" w:fill="auto"/>
            <w:vAlign w:val="center"/>
            <w:hideMark/>
          </w:tcPr>
          <w:p w14:paraId="762F99C2" w14:textId="77777777" w:rsidR="00E12743" w:rsidRPr="00542ADA" w:rsidRDefault="00E12743" w:rsidP="00E12743">
            <w:pPr>
              <w:spacing w:line="240" w:lineRule="auto"/>
              <w:rPr>
                <w:rFonts w:ascii="Arial Narrow" w:hAnsi="Arial Narrow" w:cs="Arial"/>
                <w:sz w:val="22"/>
                <w:lang w:val="en-US"/>
              </w:rPr>
            </w:pPr>
            <w:r w:rsidRPr="00542ADA">
              <w:rPr>
                <w:rFonts w:ascii="Arial Narrow" w:hAnsi="Arial Narrow" w:cs="Arial"/>
                <w:sz w:val="22"/>
                <w:lang w:val="en-US"/>
              </w:rPr>
              <w:t>Escalate to CEO, report prepared for Audit &amp; Strategic Finance Committee. Monthly monitoring and review required. Risk Registers to be updated.</w:t>
            </w:r>
          </w:p>
        </w:tc>
        <w:tc>
          <w:tcPr>
            <w:tcW w:w="708" w:type="pct"/>
            <w:tcBorders>
              <w:top w:val="nil"/>
              <w:left w:val="nil"/>
              <w:bottom w:val="single" w:sz="4" w:space="0" w:color="auto"/>
              <w:right w:val="single" w:sz="4" w:space="0" w:color="auto"/>
            </w:tcBorders>
            <w:shd w:val="clear" w:color="auto" w:fill="auto"/>
            <w:vAlign w:val="center"/>
            <w:hideMark/>
          </w:tcPr>
          <w:p w14:paraId="1B2AAF2D" w14:textId="77777777" w:rsidR="00E12743" w:rsidRPr="00542ADA" w:rsidRDefault="00E12743" w:rsidP="00E12743">
            <w:pPr>
              <w:spacing w:line="240" w:lineRule="auto"/>
              <w:jc w:val="left"/>
              <w:rPr>
                <w:rFonts w:ascii="Arial Narrow" w:hAnsi="Arial Narrow" w:cs="Arial"/>
                <w:sz w:val="22"/>
                <w:lang w:val="en-US"/>
              </w:rPr>
            </w:pPr>
            <w:r w:rsidRPr="00542ADA">
              <w:rPr>
                <w:rFonts w:ascii="Arial Narrow" w:hAnsi="Arial Narrow" w:cs="Arial"/>
                <w:sz w:val="22"/>
                <w:lang w:val="en-US"/>
              </w:rPr>
              <w:t>CEO/Council/Project Sponsor</w:t>
            </w:r>
          </w:p>
        </w:tc>
      </w:tr>
    </w:tbl>
    <w:p w14:paraId="3C73E76E" w14:textId="77777777" w:rsidR="00186682" w:rsidRPr="002D69DD" w:rsidRDefault="00DB29AE" w:rsidP="00186682">
      <w:pPr>
        <w:rPr>
          <w:rFonts w:cs="Arial"/>
          <w:bCs/>
          <w:iCs/>
          <w:szCs w:val="24"/>
        </w:rPr>
      </w:pPr>
      <w:r>
        <w:rPr>
          <w:rFonts w:cs="Arial"/>
          <w:szCs w:val="24"/>
        </w:rPr>
        <w:br/>
      </w:r>
      <w:r w:rsidR="00186682" w:rsidRPr="002D69DD">
        <w:rPr>
          <w:rFonts w:cs="Arial"/>
          <w:bCs/>
          <w:iCs/>
          <w:szCs w:val="24"/>
        </w:rPr>
        <w:t>Each of the risks are reviewed with current and proposed control measures being assessed yearly to ensure industry standards and potential advancements are considered and are incorporated as required.</w:t>
      </w:r>
    </w:p>
    <w:p w14:paraId="4582302A" w14:textId="77777777" w:rsidR="00FD72BB" w:rsidRDefault="00FD72BB" w:rsidP="00FD72BB">
      <w:pPr>
        <w:pStyle w:val="BodyText"/>
        <w:rPr>
          <w:szCs w:val="24"/>
        </w:rPr>
      </w:pPr>
    </w:p>
    <w:p w14:paraId="2E7EA6DB" w14:textId="77777777" w:rsidR="0053035B" w:rsidRDefault="0053035B" w:rsidP="00D6350D">
      <w:pPr>
        <w:pStyle w:val="BodyText"/>
        <w:jc w:val="left"/>
        <w:rPr>
          <w:rFonts w:cs="Arial"/>
          <w:szCs w:val="24"/>
        </w:rPr>
        <w:sectPr w:rsidR="0053035B" w:rsidSect="00D96DCC">
          <w:pgSz w:w="16840" w:h="11907" w:orient="landscape" w:code="9"/>
          <w:pgMar w:top="1440" w:right="1440" w:bottom="1440" w:left="1440" w:header="624" w:footer="510" w:gutter="0"/>
          <w:cols w:space="720"/>
          <w:docGrid w:linePitch="360"/>
        </w:sectPr>
      </w:pPr>
    </w:p>
    <w:p w14:paraId="4BD3F31A" w14:textId="77777777" w:rsidR="00BC624A" w:rsidRPr="00EA6639" w:rsidRDefault="00BC624A" w:rsidP="00140CAE">
      <w:pPr>
        <w:pStyle w:val="Heading2"/>
      </w:pPr>
      <w:bookmarkStart w:id="17" w:name="_Toc56419059"/>
      <w:r w:rsidRPr="00EA6639">
        <w:lastRenderedPageBreak/>
        <w:t xml:space="preserve">3. </w:t>
      </w:r>
      <w:r w:rsidR="00A42DE6">
        <w:t>4</w:t>
      </w:r>
      <w:r w:rsidRPr="00EA6639">
        <w:tab/>
        <w:t>Legislative Requirements</w:t>
      </w:r>
      <w:bookmarkEnd w:id="17"/>
    </w:p>
    <w:p w14:paraId="1D221A98" w14:textId="77777777" w:rsidR="00A42DE6" w:rsidRDefault="00A42DE6" w:rsidP="00A42DE6">
      <w:pPr>
        <w:pStyle w:val="BodyText"/>
        <w:rPr>
          <w:szCs w:val="24"/>
        </w:rPr>
      </w:pPr>
      <w:r w:rsidRPr="00240012">
        <w:rPr>
          <w:szCs w:val="24"/>
        </w:rPr>
        <w:t>The City of Cockburn has to meet many legislative requirements including Australian and State legislation and State regulations.</w:t>
      </w:r>
    </w:p>
    <w:p w14:paraId="4062ED25" w14:textId="77777777" w:rsidR="00A42DE6" w:rsidRPr="00BA6ABB" w:rsidRDefault="00A42DE6" w:rsidP="00A42DE6">
      <w:pPr>
        <w:jc w:val="right"/>
        <w:rPr>
          <w:szCs w:val="24"/>
        </w:rPr>
      </w:pPr>
      <w:r w:rsidRPr="00BA6ABB">
        <w:rPr>
          <w:b/>
          <w:szCs w:val="24"/>
        </w:rPr>
        <w:t xml:space="preserve">See (Appendix A) </w:t>
      </w:r>
      <w:r w:rsidRPr="00BA6ABB">
        <w:rPr>
          <w:szCs w:val="24"/>
        </w:rPr>
        <w:t>for the Legislative Requirements</w:t>
      </w:r>
    </w:p>
    <w:p w14:paraId="2E307990" w14:textId="77777777" w:rsidR="00DE3A2B" w:rsidRPr="00BA6ABB" w:rsidRDefault="00DE3A2B" w:rsidP="00140CAE">
      <w:pPr>
        <w:pStyle w:val="Heading2"/>
      </w:pPr>
      <w:bookmarkStart w:id="18" w:name="_Toc54964816"/>
      <w:bookmarkStart w:id="19" w:name="_Toc56419060"/>
      <w:r w:rsidRPr="00BA6ABB">
        <w:t>3.</w:t>
      </w:r>
      <w:r>
        <w:t>5</w:t>
      </w:r>
      <w:r w:rsidRPr="00BA6ABB">
        <w:t xml:space="preserve"> </w:t>
      </w:r>
      <w:r>
        <w:tab/>
      </w:r>
      <w:r w:rsidRPr="00BA6ABB">
        <w:t>Asset Capacity and Performance</w:t>
      </w:r>
      <w:bookmarkEnd w:id="18"/>
      <w:bookmarkEnd w:id="19"/>
    </w:p>
    <w:p w14:paraId="14B449FB" w14:textId="77777777" w:rsidR="00DE3A2B" w:rsidRPr="00BA6ABB" w:rsidRDefault="00DE3A2B" w:rsidP="00DE3A2B">
      <w:pPr>
        <w:rPr>
          <w:szCs w:val="24"/>
        </w:rPr>
      </w:pPr>
      <w:r w:rsidRPr="00BA6ABB">
        <w:rPr>
          <w:szCs w:val="24"/>
        </w:rPr>
        <w:t xml:space="preserve">The City of Cockburn services are generally provided to meet design and performance standards where these are available. </w:t>
      </w:r>
    </w:p>
    <w:p w14:paraId="6386CC4B" w14:textId="77777777" w:rsidR="00DE3A2B" w:rsidRDefault="00DE3A2B" w:rsidP="00DE3A2B">
      <w:pPr>
        <w:pStyle w:val="BodyText"/>
        <w:rPr>
          <w:szCs w:val="24"/>
        </w:rPr>
      </w:pPr>
      <w:r w:rsidRPr="00240012">
        <w:rPr>
          <w:szCs w:val="24"/>
        </w:rPr>
        <w:t>Locations where deficiencies in service performance are k</w:t>
      </w:r>
      <w:r>
        <w:rPr>
          <w:szCs w:val="24"/>
        </w:rPr>
        <w:t>nown have been identified by R</w:t>
      </w:r>
      <w:r w:rsidRPr="00240012">
        <w:rPr>
          <w:szCs w:val="24"/>
        </w:rPr>
        <w:t xml:space="preserve">oad </w:t>
      </w:r>
      <w:r>
        <w:rPr>
          <w:szCs w:val="24"/>
        </w:rPr>
        <w:t>S</w:t>
      </w:r>
      <w:r w:rsidRPr="00240012">
        <w:rPr>
          <w:szCs w:val="24"/>
        </w:rPr>
        <w:t>ervice</w:t>
      </w:r>
      <w:r>
        <w:rPr>
          <w:szCs w:val="24"/>
        </w:rPr>
        <w:t>s</w:t>
      </w:r>
      <w:r w:rsidRPr="00240012">
        <w:rPr>
          <w:szCs w:val="24"/>
        </w:rPr>
        <w:t xml:space="preserve"> and are d</w:t>
      </w:r>
      <w:r w:rsidR="00AB5D05">
        <w:rPr>
          <w:szCs w:val="24"/>
        </w:rPr>
        <w:t>etailed in the following table.</w:t>
      </w:r>
    </w:p>
    <w:p w14:paraId="4558363B" w14:textId="77777777" w:rsidR="00DE3A2B" w:rsidRPr="00140CAE" w:rsidRDefault="00DE3A2B" w:rsidP="00616E47">
      <w:pPr>
        <w:keepNext/>
        <w:rPr>
          <w:b/>
          <w:iCs/>
          <w:color w:val="0070C0"/>
          <w:szCs w:val="22"/>
        </w:rPr>
      </w:pPr>
      <w:r w:rsidRPr="00140CAE">
        <w:rPr>
          <w:b/>
          <w:iCs/>
          <w:color w:val="0070C0"/>
          <w:szCs w:val="22"/>
        </w:rPr>
        <w:t>Table 3.5.1</w:t>
      </w:r>
      <w:r w:rsidRPr="00140CAE">
        <w:rPr>
          <w:b/>
          <w:iCs/>
          <w:color w:val="0070C0"/>
          <w:szCs w:val="22"/>
        </w:rPr>
        <w:tab/>
        <w:t>Known Service Performance Deficiencies</w:t>
      </w:r>
    </w:p>
    <w:tbl>
      <w:tblPr>
        <w:tblW w:w="5316" w:type="pct"/>
        <w:tblBorders>
          <w:top w:val="single" w:sz="8" w:space="0" w:color="auto"/>
          <w:left w:val="single" w:sz="8" w:space="0" w:color="auto"/>
          <w:bottom w:val="single" w:sz="8" w:space="0" w:color="auto"/>
          <w:right w:val="single" w:sz="8" w:space="0" w:color="auto"/>
          <w:insideH w:val="single" w:sz="12" w:space="0" w:color="FFFFFF"/>
          <w:insideV w:val="single" w:sz="4" w:space="0" w:color="FFFFFF"/>
        </w:tblBorders>
        <w:tblCellMar>
          <w:left w:w="0" w:type="dxa"/>
          <w:right w:w="0" w:type="dxa"/>
        </w:tblCellMar>
        <w:tblLook w:val="04A0" w:firstRow="1" w:lastRow="0" w:firstColumn="1" w:lastColumn="0" w:noHBand="0" w:noVBand="1"/>
      </w:tblPr>
      <w:tblGrid>
        <w:gridCol w:w="3886"/>
        <w:gridCol w:w="5743"/>
      </w:tblGrid>
      <w:tr w:rsidR="00DE3A2B" w14:paraId="4676938C" w14:textId="77777777" w:rsidTr="003B2CB3">
        <w:trPr>
          <w:trHeight w:val="720"/>
        </w:trPr>
        <w:tc>
          <w:tcPr>
            <w:tcW w:w="2018" w:type="pct"/>
            <w:shd w:val="clear" w:color="4BACC6" w:fill="4BACC6"/>
            <w:noWrap/>
            <w:tcMar>
              <w:top w:w="15" w:type="dxa"/>
              <w:left w:w="15" w:type="dxa"/>
              <w:bottom w:w="0" w:type="dxa"/>
              <w:right w:w="15" w:type="dxa"/>
            </w:tcMar>
            <w:vAlign w:val="center"/>
            <w:hideMark/>
          </w:tcPr>
          <w:p w14:paraId="64255F3B" w14:textId="77777777" w:rsidR="00DE3A2B" w:rsidRPr="00E760B6" w:rsidRDefault="00DE3A2B" w:rsidP="00E760B6">
            <w:pPr>
              <w:jc w:val="center"/>
              <w:rPr>
                <w:rFonts w:ascii="Arial Narrow" w:hAnsi="Arial Narrow" w:cs="Arial"/>
                <w:b/>
                <w:bCs/>
                <w:color w:val="FFFFFF"/>
                <w:szCs w:val="24"/>
              </w:rPr>
            </w:pPr>
            <w:r w:rsidRPr="00E760B6">
              <w:rPr>
                <w:rFonts w:ascii="Arial Narrow" w:hAnsi="Arial Narrow" w:cs="Arial"/>
                <w:b/>
                <w:bCs/>
                <w:color w:val="FFFFFF"/>
                <w:szCs w:val="24"/>
              </w:rPr>
              <w:t>Location</w:t>
            </w:r>
          </w:p>
        </w:tc>
        <w:tc>
          <w:tcPr>
            <w:tcW w:w="2982" w:type="pct"/>
            <w:shd w:val="clear" w:color="4BACC6" w:fill="4BACC6"/>
            <w:noWrap/>
            <w:tcMar>
              <w:top w:w="15" w:type="dxa"/>
              <w:left w:w="15" w:type="dxa"/>
              <w:bottom w:w="0" w:type="dxa"/>
              <w:right w:w="15" w:type="dxa"/>
            </w:tcMar>
            <w:vAlign w:val="center"/>
            <w:hideMark/>
          </w:tcPr>
          <w:p w14:paraId="08C3468F" w14:textId="77777777" w:rsidR="00DE3A2B" w:rsidRPr="00E760B6" w:rsidRDefault="00DE3A2B" w:rsidP="00E760B6">
            <w:pPr>
              <w:jc w:val="center"/>
              <w:rPr>
                <w:rFonts w:ascii="Arial Narrow" w:hAnsi="Arial Narrow" w:cs="Arial"/>
                <w:b/>
                <w:bCs/>
                <w:color w:val="FFFFFF"/>
                <w:szCs w:val="24"/>
              </w:rPr>
            </w:pPr>
            <w:r w:rsidRPr="00E760B6">
              <w:rPr>
                <w:rFonts w:ascii="Arial Narrow" w:hAnsi="Arial Narrow" w:cs="Arial"/>
                <w:b/>
                <w:bCs/>
                <w:color w:val="FFFFFF"/>
                <w:szCs w:val="24"/>
              </w:rPr>
              <w:t>Service Deficiency</w:t>
            </w:r>
          </w:p>
        </w:tc>
      </w:tr>
      <w:tr w:rsidR="00DE3A2B" w14:paraId="5EC76BE1" w14:textId="77777777" w:rsidTr="003B2CB3">
        <w:trPr>
          <w:trHeight w:val="1440"/>
        </w:trPr>
        <w:tc>
          <w:tcPr>
            <w:tcW w:w="2018" w:type="pct"/>
            <w:shd w:val="clear" w:color="B7DEE8" w:fill="B7DEE8"/>
            <w:tcMar>
              <w:top w:w="15" w:type="dxa"/>
              <w:left w:w="15" w:type="dxa"/>
              <w:bottom w:w="0" w:type="dxa"/>
              <w:right w:w="15" w:type="dxa"/>
            </w:tcMar>
            <w:vAlign w:val="center"/>
            <w:hideMark/>
          </w:tcPr>
          <w:p w14:paraId="4E073328" w14:textId="77777777" w:rsidR="00DE3A2B" w:rsidRPr="00E760B6" w:rsidRDefault="00DE3A2B" w:rsidP="00E760B6">
            <w:pPr>
              <w:jc w:val="center"/>
              <w:rPr>
                <w:rFonts w:ascii="Arial Narrow" w:hAnsi="Arial Narrow" w:cs="Arial"/>
                <w:color w:val="000000"/>
                <w:szCs w:val="24"/>
              </w:rPr>
            </w:pPr>
            <w:r w:rsidRPr="00E760B6">
              <w:rPr>
                <w:rFonts w:ascii="Arial Narrow" w:hAnsi="Arial Narrow" w:cs="Arial"/>
                <w:color w:val="000000"/>
                <w:szCs w:val="24"/>
              </w:rPr>
              <w:t>New development inconsistencies</w:t>
            </w:r>
          </w:p>
        </w:tc>
        <w:tc>
          <w:tcPr>
            <w:tcW w:w="2982" w:type="pct"/>
            <w:shd w:val="clear" w:color="B7DEE8" w:fill="B7DEE8"/>
            <w:tcMar>
              <w:top w:w="15" w:type="dxa"/>
              <w:left w:w="15" w:type="dxa"/>
              <w:bottom w:w="0" w:type="dxa"/>
              <w:right w:w="15" w:type="dxa"/>
            </w:tcMar>
            <w:vAlign w:val="center"/>
            <w:hideMark/>
          </w:tcPr>
          <w:p w14:paraId="05426272" w14:textId="77777777" w:rsidR="00DE3A2B" w:rsidRPr="00E760B6" w:rsidRDefault="00DE3A2B" w:rsidP="00E760B6">
            <w:pPr>
              <w:jc w:val="center"/>
              <w:rPr>
                <w:rFonts w:ascii="Arial Narrow" w:hAnsi="Arial Narrow" w:cs="Arial"/>
                <w:color w:val="000000"/>
                <w:szCs w:val="24"/>
              </w:rPr>
            </w:pPr>
            <w:r w:rsidRPr="00E760B6">
              <w:rPr>
                <w:rFonts w:ascii="Arial Narrow" w:hAnsi="Arial Narrow" w:cs="Arial"/>
                <w:color w:val="000000"/>
                <w:szCs w:val="24"/>
              </w:rPr>
              <w:t>Not built to standards as no strict guidelines; except liveable neighbourhoods standards</w:t>
            </w:r>
            <w:r w:rsidR="00360627" w:rsidRPr="00E760B6">
              <w:rPr>
                <w:rFonts w:ascii="Arial Narrow" w:hAnsi="Arial Narrow" w:cs="Arial"/>
                <w:color w:val="000000"/>
                <w:szCs w:val="24"/>
              </w:rPr>
              <w:t>.</w:t>
            </w:r>
          </w:p>
        </w:tc>
      </w:tr>
    </w:tbl>
    <w:p w14:paraId="238286FC" w14:textId="77777777" w:rsidR="0049447A" w:rsidRDefault="0049447A">
      <w:pPr>
        <w:spacing w:after="0"/>
        <w:jc w:val="left"/>
        <w:rPr>
          <w:rFonts w:cs="Arial"/>
          <w:szCs w:val="24"/>
        </w:rPr>
      </w:pPr>
      <w:r>
        <w:rPr>
          <w:rFonts w:cs="Arial"/>
          <w:szCs w:val="24"/>
        </w:rPr>
        <w:br w:type="page"/>
      </w:r>
    </w:p>
    <w:p w14:paraId="618128C4" w14:textId="1845C21B" w:rsidR="00F77DBF" w:rsidRPr="00140CAE" w:rsidRDefault="00F77DBF" w:rsidP="00780183">
      <w:pPr>
        <w:pStyle w:val="Heading1"/>
        <w:rPr>
          <w:color w:val="0070C0"/>
        </w:rPr>
      </w:pPr>
      <w:bookmarkStart w:id="20" w:name="_Toc56419061"/>
      <w:bookmarkEnd w:id="15"/>
      <w:r w:rsidRPr="00140CAE">
        <w:rPr>
          <w:color w:val="0070C0"/>
        </w:rPr>
        <w:lastRenderedPageBreak/>
        <w:t>4.</w:t>
      </w:r>
      <w:r w:rsidRPr="00140CAE">
        <w:rPr>
          <w:color w:val="0070C0"/>
        </w:rPr>
        <w:tab/>
      </w:r>
      <w:r w:rsidR="006F08FA" w:rsidRPr="00140CAE">
        <w:rPr>
          <w:color w:val="0070C0"/>
        </w:rPr>
        <w:t>Future Growth &amp; Demand</w:t>
      </w:r>
      <w:bookmarkEnd w:id="20"/>
    </w:p>
    <w:p w14:paraId="3305E263" w14:textId="77777777" w:rsidR="00363480" w:rsidRPr="00EA6639" w:rsidRDefault="005708F5" w:rsidP="00140CAE">
      <w:pPr>
        <w:pStyle w:val="Heading2"/>
      </w:pPr>
      <w:bookmarkStart w:id="21" w:name="_Toc56419062"/>
      <w:r w:rsidRPr="00EA6639">
        <w:t>4</w:t>
      </w:r>
      <w:r w:rsidR="00363480" w:rsidRPr="00EA6639">
        <w:t>.1</w:t>
      </w:r>
      <w:r w:rsidR="00363480" w:rsidRPr="00EA6639">
        <w:tab/>
      </w:r>
      <w:r w:rsidR="007F558F">
        <w:t>Growth</w:t>
      </w:r>
      <w:r w:rsidR="00363480" w:rsidRPr="00EA6639">
        <w:t xml:space="preserve"> Forecast</w:t>
      </w:r>
      <w:bookmarkEnd w:id="21"/>
    </w:p>
    <w:p w14:paraId="03CABB1F" w14:textId="77777777" w:rsidR="00F71A40" w:rsidRPr="008C088A" w:rsidRDefault="00F71A40" w:rsidP="00F71A40">
      <w:pPr>
        <w:pStyle w:val="Default"/>
        <w:spacing w:after="240" w:line="276" w:lineRule="auto"/>
        <w:jc w:val="both"/>
      </w:pPr>
      <w:r w:rsidRPr="008C088A">
        <w:t xml:space="preserve">Cockburn is one of the major Coastal Cities found in the state of Western Australia, totalling 170 square kilometres. This coastal City is renowned for its historical and tourism features along with agriculture and ship building industries. </w:t>
      </w:r>
    </w:p>
    <w:p w14:paraId="13794EDC" w14:textId="77777777" w:rsidR="00F71A40" w:rsidRDefault="00F71A40" w:rsidP="00F71A40">
      <w:pPr>
        <w:pStyle w:val="BodyText"/>
        <w:rPr>
          <w:rFonts w:cs="Arial"/>
          <w:szCs w:val="24"/>
        </w:rPr>
      </w:pPr>
      <w:r w:rsidRPr="008C088A">
        <w:rPr>
          <w:szCs w:val="24"/>
        </w:rPr>
        <w:t>The City of Cockburn’s 2020 forecasted population and dwelling is 120,417 and 46,800 dwellings respectively. The population is forecast to reach 169,700 by 2041, an increase of 40.92%</w:t>
      </w:r>
      <w:r w:rsidRPr="00F82FED">
        <w:rPr>
          <w:rFonts w:cs="Arial"/>
          <w:szCs w:val="24"/>
        </w:rPr>
        <w:t>.</w:t>
      </w:r>
    </w:p>
    <w:p w14:paraId="2FD3030C" w14:textId="77777777" w:rsidR="007540D3" w:rsidRPr="00EA6639" w:rsidRDefault="00C00F27" w:rsidP="00AA1209">
      <w:pPr>
        <w:pStyle w:val="BodyText"/>
        <w:rPr>
          <w:rFonts w:cs="Arial"/>
          <w:szCs w:val="24"/>
        </w:rPr>
      </w:pPr>
      <w:r>
        <w:rPr>
          <w:noProof/>
          <w:lang w:eastAsia="en-AU"/>
        </w:rPr>
        <w:drawing>
          <wp:inline distT="0" distB="0" distL="0" distR="0" wp14:anchorId="14678C89" wp14:editId="192AAE2B">
            <wp:extent cx="5537200" cy="3594100"/>
            <wp:effectExtent l="19050" t="19050" r="2540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544" cy="3597569"/>
                    </a:xfrm>
                    <a:prstGeom prst="rect">
                      <a:avLst/>
                    </a:prstGeom>
                    <a:noFill/>
                    <a:ln>
                      <a:solidFill>
                        <a:schemeClr val="tx1"/>
                      </a:solidFill>
                    </a:ln>
                  </pic:spPr>
                </pic:pic>
              </a:graphicData>
            </a:graphic>
          </wp:inline>
        </w:drawing>
      </w:r>
    </w:p>
    <w:p w14:paraId="4D28B4E2" w14:textId="77777777" w:rsidR="000C1004" w:rsidRDefault="0069260A" w:rsidP="000C1004">
      <w:pPr>
        <w:spacing w:after="0"/>
        <w:jc w:val="left"/>
        <w:rPr>
          <w:szCs w:val="24"/>
        </w:rPr>
      </w:pPr>
      <w:r w:rsidRPr="003F0B9B">
        <w:rPr>
          <w:szCs w:val="24"/>
        </w:rPr>
        <w:t xml:space="preserve">Growth </w:t>
      </w:r>
      <w:r>
        <w:rPr>
          <w:szCs w:val="24"/>
        </w:rPr>
        <w:t xml:space="preserve">factor </w:t>
      </w:r>
      <w:r w:rsidRPr="003F0B9B">
        <w:rPr>
          <w:szCs w:val="24"/>
        </w:rPr>
        <w:t xml:space="preserve">trends and </w:t>
      </w:r>
      <w:r>
        <w:rPr>
          <w:szCs w:val="24"/>
        </w:rPr>
        <w:t xml:space="preserve">the </w:t>
      </w:r>
      <w:r w:rsidRPr="003F0B9B">
        <w:rPr>
          <w:szCs w:val="24"/>
        </w:rPr>
        <w:t xml:space="preserve">impacts </w:t>
      </w:r>
      <w:r>
        <w:rPr>
          <w:szCs w:val="24"/>
        </w:rPr>
        <w:t xml:space="preserve">these have </w:t>
      </w:r>
      <w:r w:rsidRPr="003F0B9B">
        <w:rPr>
          <w:szCs w:val="24"/>
        </w:rPr>
        <w:t xml:space="preserve">on service delivery </w:t>
      </w:r>
      <w:r>
        <w:rPr>
          <w:szCs w:val="24"/>
        </w:rPr>
        <w:t xml:space="preserve">across the City </w:t>
      </w:r>
      <w:r w:rsidRPr="003F0B9B">
        <w:rPr>
          <w:szCs w:val="24"/>
        </w:rPr>
        <w:t>are summarised in Table 4.1.</w:t>
      </w:r>
    </w:p>
    <w:p w14:paraId="2DB00D8E" w14:textId="77777777" w:rsidR="000C1004" w:rsidRPr="00140CAE" w:rsidRDefault="000C1004" w:rsidP="000C1004">
      <w:pPr>
        <w:spacing w:after="0"/>
        <w:jc w:val="left"/>
        <w:rPr>
          <w:iCs/>
          <w:color w:val="0070C0"/>
          <w:szCs w:val="24"/>
        </w:rPr>
      </w:pPr>
    </w:p>
    <w:p w14:paraId="5604D70D" w14:textId="354ABBB3" w:rsidR="00F71A40" w:rsidRDefault="00F71A40" w:rsidP="000C1004">
      <w:pPr>
        <w:spacing w:after="0"/>
        <w:jc w:val="left"/>
        <w:rPr>
          <w:b/>
          <w:iCs/>
          <w:color w:val="0070C0"/>
          <w:szCs w:val="22"/>
        </w:rPr>
      </w:pPr>
      <w:r w:rsidRPr="00140CAE">
        <w:rPr>
          <w:b/>
          <w:iCs/>
          <w:color w:val="0070C0"/>
          <w:szCs w:val="22"/>
        </w:rPr>
        <w:t>Table 4.1</w:t>
      </w:r>
      <w:r w:rsidRPr="00140CAE">
        <w:rPr>
          <w:b/>
          <w:iCs/>
          <w:color w:val="0070C0"/>
          <w:szCs w:val="22"/>
        </w:rPr>
        <w:tab/>
        <w:t>Growth, Projections and Impact on Services</w:t>
      </w:r>
    </w:p>
    <w:p w14:paraId="0F0F8E9B" w14:textId="77777777" w:rsidR="00140CAE" w:rsidRPr="00140CAE" w:rsidRDefault="00140CAE" w:rsidP="00140CAE">
      <w:pPr>
        <w:pStyle w:val="BodyText"/>
      </w:pPr>
    </w:p>
    <w:tbl>
      <w:tblPr>
        <w:tblW w:w="0" w:type="auto"/>
        <w:jc w:val="center"/>
        <w:tblLook w:val="01E0" w:firstRow="1" w:lastRow="1" w:firstColumn="1" w:lastColumn="1" w:noHBand="0" w:noVBand="0"/>
      </w:tblPr>
      <w:tblGrid>
        <w:gridCol w:w="1504"/>
        <w:gridCol w:w="2159"/>
        <w:gridCol w:w="2620"/>
        <w:gridCol w:w="2960"/>
      </w:tblGrid>
      <w:tr w:rsidR="00F71A40" w:rsidRPr="002A27A9" w14:paraId="795E751F" w14:textId="77777777" w:rsidTr="00140CAE">
        <w:trPr>
          <w:cantSplit/>
          <w:trHeight w:val="567"/>
          <w:tblHeader/>
          <w:jc w:val="center"/>
        </w:trPr>
        <w:tc>
          <w:tcPr>
            <w:tcW w:w="1504" w:type="dxa"/>
            <w:tcBorders>
              <w:top w:val="single" w:sz="8" w:space="0" w:color="auto"/>
              <w:left w:val="single" w:sz="8" w:space="0" w:color="auto"/>
              <w:bottom w:val="thinThickSmallGap" w:sz="24" w:space="0" w:color="auto"/>
              <w:right w:val="single" w:sz="8" w:space="0" w:color="FFFFFF" w:themeColor="background1"/>
            </w:tcBorders>
            <w:shd w:val="clear" w:color="auto" w:fill="4BACC6" w:themeFill="accent5"/>
            <w:vAlign w:val="center"/>
          </w:tcPr>
          <w:p w14:paraId="12BAFF18" w14:textId="77777777" w:rsidR="00F71A40" w:rsidRPr="002A27A9" w:rsidRDefault="00F71A40" w:rsidP="009E4A0F">
            <w:pPr>
              <w:pStyle w:val="BodyText"/>
              <w:spacing w:before="60" w:after="60"/>
              <w:jc w:val="center"/>
              <w:rPr>
                <w:rFonts w:ascii="Arial Narrow" w:hAnsi="Arial Narrow" w:cs="Arial"/>
                <w:b/>
                <w:color w:val="FFFFFF" w:themeColor="background1"/>
                <w:szCs w:val="24"/>
              </w:rPr>
            </w:pPr>
            <w:r w:rsidRPr="002A27A9">
              <w:rPr>
                <w:rFonts w:ascii="Arial Narrow" w:hAnsi="Arial Narrow" w:cs="Arial"/>
                <w:b/>
                <w:color w:val="FFFFFF" w:themeColor="background1"/>
                <w:szCs w:val="24"/>
              </w:rPr>
              <w:t>Demand factor</w:t>
            </w:r>
          </w:p>
        </w:tc>
        <w:tc>
          <w:tcPr>
            <w:tcW w:w="2159" w:type="dxa"/>
            <w:tcBorders>
              <w:top w:val="single" w:sz="8" w:space="0" w:color="auto"/>
              <w:left w:val="single" w:sz="8" w:space="0" w:color="FFFFFF" w:themeColor="background1"/>
              <w:bottom w:val="thinThickSmallGap" w:sz="24" w:space="0" w:color="auto"/>
              <w:right w:val="single" w:sz="8" w:space="0" w:color="FFFFFF" w:themeColor="background1"/>
            </w:tcBorders>
            <w:shd w:val="clear" w:color="auto" w:fill="4BACC6" w:themeFill="accent5"/>
            <w:vAlign w:val="center"/>
          </w:tcPr>
          <w:p w14:paraId="2AD8E861" w14:textId="77777777" w:rsidR="00F71A40" w:rsidRPr="002A27A9" w:rsidRDefault="00F71A40" w:rsidP="009E4A0F">
            <w:pPr>
              <w:pStyle w:val="BodyText"/>
              <w:spacing w:before="60" w:after="60"/>
              <w:jc w:val="center"/>
              <w:rPr>
                <w:rFonts w:ascii="Arial Narrow" w:hAnsi="Arial Narrow" w:cs="Arial"/>
                <w:b/>
                <w:color w:val="FFFFFF" w:themeColor="background1"/>
                <w:szCs w:val="24"/>
              </w:rPr>
            </w:pPr>
            <w:r w:rsidRPr="002A27A9">
              <w:rPr>
                <w:rFonts w:ascii="Arial Narrow" w:hAnsi="Arial Narrow" w:cs="Arial"/>
                <w:b/>
                <w:color w:val="FFFFFF" w:themeColor="background1"/>
                <w:szCs w:val="24"/>
              </w:rPr>
              <w:t>Present position</w:t>
            </w:r>
          </w:p>
        </w:tc>
        <w:tc>
          <w:tcPr>
            <w:tcW w:w="2620" w:type="dxa"/>
            <w:tcBorders>
              <w:top w:val="single" w:sz="8" w:space="0" w:color="auto"/>
              <w:left w:val="single" w:sz="8" w:space="0" w:color="FFFFFF" w:themeColor="background1"/>
              <w:bottom w:val="thinThickSmallGap" w:sz="24" w:space="0" w:color="auto"/>
              <w:right w:val="single" w:sz="8" w:space="0" w:color="FFFFFF" w:themeColor="background1"/>
            </w:tcBorders>
            <w:shd w:val="clear" w:color="auto" w:fill="4BACC6" w:themeFill="accent5"/>
            <w:vAlign w:val="center"/>
          </w:tcPr>
          <w:p w14:paraId="5E578E9A" w14:textId="77777777" w:rsidR="00F71A40" w:rsidRPr="002A27A9" w:rsidRDefault="00F71A40" w:rsidP="009E4A0F">
            <w:pPr>
              <w:pStyle w:val="BodyText"/>
              <w:spacing w:before="60" w:after="60"/>
              <w:jc w:val="center"/>
              <w:rPr>
                <w:rFonts w:ascii="Arial Narrow" w:hAnsi="Arial Narrow" w:cs="Arial"/>
                <w:b/>
                <w:color w:val="FFFFFF" w:themeColor="background1"/>
                <w:szCs w:val="24"/>
              </w:rPr>
            </w:pPr>
            <w:r w:rsidRPr="002A27A9">
              <w:rPr>
                <w:rFonts w:ascii="Arial Narrow" w:hAnsi="Arial Narrow" w:cs="Arial"/>
                <w:b/>
                <w:color w:val="FFFFFF" w:themeColor="background1"/>
                <w:szCs w:val="24"/>
              </w:rPr>
              <w:t>Projection</w:t>
            </w:r>
          </w:p>
        </w:tc>
        <w:tc>
          <w:tcPr>
            <w:tcW w:w="2960" w:type="dxa"/>
            <w:tcBorders>
              <w:top w:val="single" w:sz="8" w:space="0" w:color="auto"/>
              <w:left w:val="single" w:sz="8" w:space="0" w:color="FFFFFF" w:themeColor="background1"/>
              <w:bottom w:val="thinThickSmallGap" w:sz="24" w:space="0" w:color="auto"/>
              <w:right w:val="single" w:sz="8" w:space="0" w:color="auto"/>
            </w:tcBorders>
            <w:shd w:val="clear" w:color="auto" w:fill="4BACC6" w:themeFill="accent5"/>
            <w:vAlign w:val="center"/>
          </w:tcPr>
          <w:p w14:paraId="6006A114" w14:textId="77777777" w:rsidR="00F71A40" w:rsidRPr="002A27A9" w:rsidRDefault="00F71A40" w:rsidP="009E4A0F">
            <w:pPr>
              <w:pStyle w:val="BodyText"/>
              <w:spacing w:before="60" w:after="60"/>
              <w:jc w:val="center"/>
              <w:rPr>
                <w:rFonts w:ascii="Arial Narrow" w:hAnsi="Arial Narrow" w:cs="Arial"/>
                <w:b/>
                <w:color w:val="FFFFFF" w:themeColor="background1"/>
                <w:szCs w:val="24"/>
              </w:rPr>
            </w:pPr>
            <w:r w:rsidRPr="002A27A9">
              <w:rPr>
                <w:rFonts w:ascii="Arial Narrow" w:hAnsi="Arial Narrow" w:cs="Arial"/>
                <w:b/>
                <w:color w:val="FFFFFF" w:themeColor="background1"/>
                <w:szCs w:val="24"/>
              </w:rPr>
              <w:t>Impact on services</w:t>
            </w:r>
          </w:p>
        </w:tc>
      </w:tr>
      <w:tr w:rsidR="00F71A40" w:rsidRPr="00D4552B" w14:paraId="779800B2" w14:textId="77777777" w:rsidTr="00140CAE">
        <w:trPr>
          <w:jc w:val="center"/>
        </w:trPr>
        <w:tc>
          <w:tcPr>
            <w:tcW w:w="1504" w:type="dxa"/>
            <w:tcBorders>
              <w:top w:val="thinThickSmallGap" w:sz="24" w:space="0" w:color="auto"/>
              <w:left w:val="single" w:sz="8" w:space="0" w:color="auto"/>
              <w:bottom w:val="single" w:sz="4" w:space="0" w:color="auto"/>
              <w:right w:val="thinThickSmallGap" w:sz="24" w:space="0" w:color="auto"/>
            </w:tcBorders>
            <w:shd w:val="clear" w:color="auto" w:fill="DAEEF3" w:themeFill="accent5" w:themeFillTint="33"/>
          </w:tcPr>
          <w:p w14:paraId="37C025F1" w14:textId="77777777" w:rsidR="00F71A40" w:rsidRPr="003E6F36"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Population</w:t>
            </w:r>
          </w:p>
        </w:tc>
        <w:tc>
          <w:tcPr>
            <w:tcW w:w="2159" w:type="dxa"/>
            <w:tcBorders>
              <w:top w:val="thinThickSmallGap" w:sz="24" w:space="0" w:color="auto"/>
              <w:left w:val="thinThickSmallGap" w:sz="24" w:space="0" w:color="auto"/>
              <w:bottom w:val="single" w:sz="4" w:space="0" w:color="auto"/>
              <w:right w:val="single" w:sz="8" w:space="0" w:color="FFFFFF" w:themeColor="background1"/>
            </w:tcBorders>
            <w:shd w:val="clear" w:color="auto" w:fill="DAEEF3" w:themeFill="accent5" w:themeFillTint="33"/>
          </w:tcPr>
          <w:p w14:paraId="617C55CE" w14:textId="77777777" w:rsidR="00F71A40" w:rsidRPr="003E6F36" w:rsidRDefault="00F71A40" w:rsidP="00C13A02">
            <w:pPr>
              <w:pStyle w:val="BodyText"/>
              <w:spacing w:before="60" w:after="60"/>
              <w:jc w:val="left"/>
              <w:rPr>
                <w:rFonts w:ascii="Arial Narrow" w:hAnsi="Arial Narrow" w:cs="Arial"/>
                <w:szCs w:val="24"/>
              </w:rPr>
            </w:pPr>
            <w:r w:rsidRPr="003E6F36">
              <w:rPr>
                <w:rFonts w:ascii="Arial Narrow" w:hAnsi="Arial Narrow" w:cs="Arial"/>
                <w:szCs w:val="24"/>
              </w:rPr>
              <w:t>1</w:t>
            </w:r>
            <w:r w:rsidR="00AB0891">
              <w:rPr>
                <w:rFonts w:ascii="Arial Narrow" w:hAnsi="Arial Narrow" w:cs="Arial"/>
                <w:szCs w:val="24"/>
              </w:rPr>
              <w:t>20</w:t>
            </w:r>
            <w:r w:rsidRPr="003E6F36">
              <w:rPr>
                <w:rFonts w:ascii="Arial Narrow" w:hAnsi="Arial Narrow" w:cs="Arial"/>
                <w:szCs w:val="24"/>
              </w:rPr>
              <w:t>,</w:t>
            </w:r>
            <w:r w:rsidR="00AB0891">
              <w:rPr>
                <w:rFonts w:ascii="Arial Narrow" w:hAnsi="Arial Narrow" w:cs="Arial"/>
                <w:szCs w:val="24"/>
              </w:rPr>
              <w:t>417</w:t>
            </w:r>
            <w:r>
              <w:rPr>
                <w:rFonts w:ascii="Arial Narrow" w:hAnsi="Arial Narrow" w:cs="Arial"/>
                <w:szCs w:val="24"/>
              </w:rPr>
              <w:t xml:space="preserve"> </w:t>
            </w:r>
            <w:r w:rsidRPr="003E6F36">
              <w:rPr>
                <w:rFonts w:ascii="Arial Narrow" w:hAnsi="Arial Narrow" w:cs="Arial"/>
                <w:szCs w:val="24"/>
              </w:rPr>
              <w:t xml:space="preserve">as at </w:t>
            </w:r>
            <w:r w:rsidR="00AB0891">
              <w:rPr>
                <w:rFonts w:ascii="Arial Narrow" w:hAnsi="Arial Narrow" w:cs="Arial"/>
                <w:szCs w:val="24"/>
              </w:rPr>
              <w:t>year</w:t>
            </w:r>
            <w:r w:rsidRPr="003E6F36">
              <w:rPr>
                <w:rFonts w:ascii="Arial Narrow" w:hAnsi="Arial Narrow" w:cs="Arial"/>
                <w:szCs w:val="24"/>
              </w:rPr>
              <w:t xml:space="preserve"> 20</w:t>
            </w:r>
            <w:r w:rsidR="00AB0891">
              <w:rPr>
                <w:rFonts w:ascii="Arial Narrow" w:hAnsi="Arial Narrow" w:cs="Arial"/>
                <w:szCs w:val="24"/>
              </w:rPr>
              <w:t>20</w:t>
            </w:r>
          </w:p>
        </w:tc>
        <w:tc>
          <w:tcPr>
            <w:tcW w:w="2620" w:type="dxa"/>
            <w:tcBorders>
              <w:top w:val="thinThickSmallGap" w:sz="24" w:space="0" w:color="auto"/>
              <w:left w:val="single" w:sz="8" w:space="0" w:color="FFFFFF" w:themeColor="background1"/>
              <w:bottom w:val="single" w:sz="4" w:space="0" w:color="auto"/>
              <w:right w:val="single" w:sz="8" w:space="0" w:color="FFFFFF" w:themeColor="background1"/>
            </w:tcBorders>
            <w:shd w:val="clear" w:color="auto" w:fill="DAEEF3" w:themeFill="accent5" w:themeFillTint="33"/>
          </w:tcPr>
          <w:p w14:paraId="79F4B612" w14:textId="77777777" w:rsidR="00F71A40" w:rsidRPr="003E6F36" w:rsidRDefault="00F71A40" w:rsidP="007D5CDF">
            <w:pPr>
              <w:pStyle w:val="BodyText"/>
              <w:spacing w:before="60" w:after="60"/>
              <w:jc w:val="left"/>
              <w:rPr>
                <w:rFonts w:ascii="Arial Narrow" w:hAnsi="Arial Narrow" w:cs="Arial"/>
                <w:szCs w:val="24"/>
              </w:rPr>
            </w:pPr>
            <w:r w:rsidRPr="003E6F36">
              <w:rPr>
                <w:rFonts w:ascii="Arial Narrow" w:hAnsi="Arial Narrow" w:cs="Arial"/>
                <w:szCs w:val="24"/>
              </w:rPr>
              <w:t>Change between 201</w:t>
            </w:r>
            <w:r>
              <w:rPr>
                <w:rFonts w:ascii="Arial Narrow" w:hAnsi="Arial Narrow" w:cs="Arial"/>
                <w:szCs w:val="24"/>
              </w:rPr>
              <w:t xml:space="preserve">9 </w:t>
            </w:r>
            <w:r w:rsidRPr="003E6F36">
              <w:rPr>
                <w:rFonts w:ascii="Arial Narrow" w:hAnsi="Arial Narrow" w:cs="Arial"/>
                <w:szCs w:val="24"/>
              </w:rPr>
              <w:t>and 20</w:t>
            </w:r>
            <w:r>
              <w:rPr>
                <w:rFonts w:ascii="Arial Narrow" w:hAnsi="Arial Narrow" w:cs="Arial"/>
                <w:szCs w:val="24"/>
              </w:rPr>
              <w:t>41</w:t>
            </w:r>
            <w:r w:rsidRPr="003E6F36">
              <w:rPr>
                <w:rFonts w:ascii="Arial Narrow" w:hAnsi="Arial Narrow" w:cs="Arial"/>
                <w:szCs w:val="24"/>
              </w:rPr>
              <w:t xml:space="preserve"> is projected to be </w:t>
            </w:r>
            <w:r w:rsidR="007D5CDF">
              <w:rPr>
                <w:rFonts w:ascii="Arial Narrow" w:hAnsi="Arial Narrow" w:cs="Arial"/>
                <w:szCs w:val="24"/>
              </w:rPr>
              <w:t>49,283 a 41</w:t>
            </w:r>
            <w:r w:rsidRPr="003E6F36">
              <w:rPr>
                <w:rFonts w:ascii="Arial Narrow" w:hAnsi="Arial Narrow" w:cs="Arial"/>
                <w:szCs w:val="24"/>
              </w:rPr>
              <w:t>% increase at an average 2% per annum</w:t>
            </w:r>
          </w:p>
        </w:tc>
        <w:tc>
          <w:tcPr>
            <w:tcW w:w="2960" w:type="dxa"/>
            <w:tcBorders>
              <w:top w:val="thinThickSmallGap" w:sz="24" w:space="0" w:color="auto"/>
              <w:left w:val="single" w:sz="8" w:space="0" w:color="FFFFFF" w:themeColor="background1"/>
              <w:bottom w:val="single" w:sz="4" w:space="0" w:color="auto"/>
              <w:right w:val="single" w:sz="8" w:space="0" w:color="auto"/>
            </w:tcBorders>
            <w:shd w:val="clear" w:color="auto" w:fill="DAEEF3" w:themeFill="accent5" w:themeFillTint="33"/>
          </w:tcPr>
          <w:p w14:paraId="3BF9C281" w14:textId="77777777" w:rsidR="00F71A40"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 xml:space="preserve">Increased </w:t>
            </w:r>
            <w:r>
              <w:rPr>
                <w:rFonts w:ascii="Arial Narrow" w:hAnsi="Arial Narrow" w:cs="Arial"/>
                <w:szCs w:val="24"/>
              </w:rPr>
              <w:t>path asset requirement.</w:t>
            </w:r>
          </w:p>
          <w:p w14:paraId="77A7B357" w14:textId="77777777" w:rsidR="00F71A40" w:rsidRPr="003E6F36" w:rsidRDefault="00F71A40" w:rsidP="00C13A02">
            <w:pPr>
              <w:pStyle w:val="BodyText"/>
              <w:spacing w:before="60" w:after="60"/>
              <w:jc w:val="left"/>
              <w:rPr>
                <w:rFonts w:ascii="Arial Narrow" w:hAnsi="Arial Narrow" w:cs="Arial"/>
                <w:szCs w:val="24"/>
              </w:rPr>
            </w:pPr>
            <w:r>
              <w:rPr>
                <w:rFonts w:ascii="Arial Narrow" w:hAnsi="Arial Narrow" w:cs="Arial"/>
                <w:szCs w:val="24"/>
              </w:rPr>
              <w:t>Increased annual maintenance costs</w:t>
            </w:r>
            <w:r w:rsidR="00C13A02">
              <w:rPr>
                <w:rFonts w:ascii="Arial Narrow" w:hAnsi="Arial Narrow" w:cs="Arial"/>
                <w:szCs w:val="24"/>
              </w:rPr>
              <w:t>.</w:t>
            </w:r>
          </w:p>
        </w:tc>
      </w:tr>
      <w:tr w:rsidR="00F71A40" w:rsidRPr="00772148" w14:paraId="729D67B3" w14:textId="77777777" w:rsidTr="00140CAE">
        <w:trPr>
          <w:jc w:val="center"/>
        </w:trPr>
        <w:tc>
          <w:tcPr>
            <w:tcW w:w="1504" w:type="dxa"/>
            <w:tcBorders>
              <w:top w:val="single" w:sz="4" w:space="0" w:color="auto"/>
              <w:left w:val="single" w:sz="8" w:space="0" w:color="auto"/>
              <w:bottom w:val="single" w:sz="8" w:space="0" w:color="FFFFFF" w:themeColor="background1"/>
              <w:right w:val="thinThickSmallGap" w:sz="24" w:space="0" w:color="auto"/>
            </w:tcBorders>
            <w:shd w:val="clear" w:color="auto" w:fill="DAEEF3" w:themeFill="accent5" w:themeFillTint="33"/>
          </w:tcPr>
          <w:p w14:paraId="1D5FA2AE" w14:textId="77777777" w:rsidR="00F71A40" w:rsidRPr="003E6F36" w:rsidRDefault="00F71A40" w:rsidP="00C13A02">
            <w:pPr>
              <w:pStyle w:val="BodyText"/>
              <w:spacing w:before="60" w:after="60"/>
              <w:jc w:val="left"/>
              <w:rPr>
                <w:rFonts w:ascii="Arial Narrow" w:hAnsi="Arial Narrow" w:cs="Arial"/>
                <w:szCs w:val="24"/>
              </w:rPr>
            </w:pPr>
            <w:r w:rsidRPr="00772148">
              <w:rPr>
                <w:rFonts w:ascii="Arial Narrow" w:hAnsi="Arial Narrow" w:cs="Arial"/>
                <w:szCs w:val="24"/>
              </w:rPr>
              <w:lastRenderedPageBreak/>
              <w:t>Demographics</w:t>
            </w:r>
          </w:p>
        </w:tc>
        <w:tc>
          <w:tcPr>
            <w:tcW w:w="2159" w:type="dxa"/>
            <w:tcBorders>
              <w:top w:val="single" w:sz="4" w:space="0" w:color="auto"/>
              <w:left w:val="thinThickSmallGap" w:sz="24" w:space="0" w:color="auto"/>
              <w:bottom w:val="single" w:sz="8" w:space="0" w:color="FFFFFF" w:themeColor="background1"/>
              <w:right w:val="single" w:sz="8" w:space="0" w:color="FFFFFF" w:themeColor="background1"/>
            </w:tcBorders>
            <w:shd w:val="clear" w:color="auto" w:fill="DAEEF3" w:themeFill="accent5" w:themeFillTint="33"/>
          </w:tcPr>
          <w:p w14:paraId="78F0A3FB" w14:textId="77777777" w:rsidR="00F71A40" w:rsidRPr="00772148" w:rsidRDefault="00F71A40" w:rsidP="00C13A02">
            <w:pPr>
              <w:pStyle w:val="BodyText"/>
              <w:spacing w:before="60" w:after="60"/>
              <w:jc w:val="left"/>
              <w:rPr>
                <w:rFonts w:ascii="Arial Narrow" w:hAnsi="Arial Narrow" w:cs="Arial"/>
                <w:szCs w:val="24"/>
              </w:rPr>
            </w:pPr>
            <w:r w:rsidRPr="00772148">
              <w:rPr>
                <w:rFonts w:ascii="Arial Narrow" w:hAnsi="Arial Narrow" w:cs="Arial"/>
                <w:szCs w:val="24"/>
              </w:rPr>
              <w:t>Aging population</w:t>
            </w:r>
          </w:p>
        </w:tc>
        <w:tc>
          <w:tcPr>
            <w:tcW w:w="2620"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42CFCBEB" w14:textId="77777777" w:rsidR="00F71A40" w:rsidRPr="00772148" w:rsidRDefault="00F71A40" w:rsidP="00C13A02">
            <w:pPr>
              <w:pStyle w:val="BodyText"/>
              <w:spacing w:before="60" w:after="60"/>
              <w:jc w:val="left"/>
              <w:rPr>
                <w:rFonts w:ascii="Arial Narrow" w:hAnsi="Arial Narrow" w:cs="Arial"/>
                <w:szCs w:val="24"/>
              </w:rPr>
            </w:pPr>
            <w:r w:rsidRPr="00772148">
              <w:rPr>
                <w:rFonts w:ascii="Arial Narrow" w:hAnsi="Arial Narrow" w:cs="Arial"/>
                <w:szCs w:val="24"/>
              </w:rPr>
              <w:t xml:space="preserve">Between </w:t>
            </w:r>
            <w:r>
              <w:rPr>
                <w:rFonts w:ascii="Arial Narrow" w:hAnsi="Arial Narrow" w:cs="Arial"/>
                <w:szCs w:val="24"/>
              </w:rPr>
              <w:t>2016</w:t>
            </w:r>
            <w:r w:rsidRPr="00772148">
              <w:rPr>
                <w:rFonts w:ascii="Arial Narrow" w:hAnsi="Arial Narrow" w:cs="Arial"/>
                <w:szCs w:val="24"/>
              </w:rPr>
              <w:t xml:space="preserve"> and 20</w:t>
            </w:r>
            <w:r>
              <w:rPr>
                <w:rFonts w:ascii="Arial Narrow" w:hAnsi="Arial Narrow" w:cs="Arial"/>
                <w:szCs w:val="24"/>
              </w:rPr>
              <w:t>31</w:t>
            </w:r>
            <w:r w:rsidRPr="00772148">
              <w:rPr>
                <w:rFonts w:ascii="Arial Narrow" w:hAnsi="Arial Narrow" w:cs="Arial"/>
                <w:szCs w:val="24"/>
              </w:rPr>
              <w:t xml:space="preserve"> the age structure forecasts indicate </w:t>
            </w:r>
            <w:r>
              <w:rPr>
                <w:rFonts w:ascii="Arial Narrow" w:hAnsi="Arial Narrow" w:cs="Arial"/>
                <w:szCs w:val="24"/>
              </w:rPr>
              <w:t>43</w:t>
            </w:r>
            <w:r w:rsidRPr="00772148">
              <w:rPr>
                <w:rFonts w:ascii="Arial Narrow" w:hAnsi="Arial Narrow" w:cs="Arial"/>
                <w:szCs w:val="24"/>
              </w:rPr>
              <w:t>% increase in the population of retirement age.</w:t>
            </w:r>
          </w:p>
        </w:tc>
        <w:tc>
          <w:tcPr>
            <w:tcW w:w="2960" w:type="dxa"/>
            <w:tcBorders>
              <w:top w:val="single" w:sz="4" w:space="0" w:color="auto"/>
              <w:left w:val="single" w:sz="8" w:space="0" w:color="FFFFFF" w:themeColor="background1"/>
              <w:bottom w:val="single" w:sz="8" w:space="0" w:color="FFFFFF" w:themeColor="background1"/>
              <w:right w:val="single" w:sz="8" w:space="0" w:color="auto"/>
            </w:tcBorders>
            <w:shd w:val="clear" w:color="auto" w:fill="DAEEF3" w:themeFill="accent5" w:themeFillTint="33"/>
          </w:tcPr>
          <w:p w14:paraId="38CEDA67" w14:textId="77777777" w:rsidR="00F71A40" w:rsidRPr="003E6F36" w:rsidRDefault="00F71A40" w:rsidP="00C13A02">
            <w:pPr>
              <w:pStyle w:val="BodyText"/>
              <w:spacing w:before="60" w:after="60"/>
              <w:jc w:val="left"/>
              <w:rPr>
                <w:rFonts w:ascii="Arial Narrow" w:hAnsi="Arial Narrow" w:cs="Arial"/>
                <w:szCs w:val="24"/>
              </w:rPr>
            </w:pPr>
            <w:r w:rsidRPr="00772148">
              <w:rPr>
                <w:rFonts w:ascii="Arial Narrow" w:hAnsi="Arial Narrow" w:cs="Arial"/>
                <w:szCs w:val="24"/>
              </w:rPr>
              <w:t>Increased bus services resulting in damage to road pavement &amp; requirement to upgrade local roads for turning movements.</w:t>
            </w:r>
          </w:p>
        </w:tc>
      </w:tr>
      <w:tr w:rsidR="00F71A40" w:rsidRPr="00D4552B" w14:paraId="5B91A2CD" w14:textId="77777777" w:rsidTr="007D5CDF">
        <w:trPr>
          <w:jc w:val="center"/>
        </w:trPr>
        <w:tc>
          <w:tcPr>
            <w:tcW w:w="1504" w:type="dxa"/>
            <w:tcBorders>
              <w:top w:val="single" w:sz="8" w:space="0" w:color="FFFFFF" w:themeColor="background1"/>
              <w:left w:val="single" w:sz="8" w:space="0" w:color="auto"/>
              <w:bottom w:val="single" w:sz="8" w:space="0" w:color="auto"/>
              <w:right w:val="thinThickSmallGap" w:sz="24" w:space="0" w:color="auto"/>
            </w:tcBorders>
            <w:shd w:val="clear" w:color="auto" w:fill="DAEEF3" w:themeFill="accent5" w:themeFillTint="33"/>
          </w:tcPr>
          <w:p w14:paraId="1BA02668" w14:textId="77777777" w:rsidR="00F71A40" w:rsidRPr="003E6F36"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Industry</w:t>
            </w:r>
          </w:p>
        </w:tc>
        <w:tc>
          <w:tcPr>
            <w:tcW w:w="2159" w:type="dxa"/>
            <w:tcBorders>
              <w:top w:val="single" w:sz="8" w:space="0" w:color="FFFFFF" w:themeColor="background1"/>
              <w:left w:val="thinThickSmallGap" w:sz="24" w:space="0" w:color="auto"/>
              <w:bottom w:val="single" w:sz="8" w:space="0" w:color="auto"/>
              <w:right w:val="single" w:sz="8" w:space="0" w:color="FFFFFF" w:themeColor="background1"/>
            </w:tcBorders>
            <w:shd w:val="clear" w:color="auto" w:fill="DAEEF3" w:themeFill="accent5" w:themeFillTint="33"/>
          </w:tcPr>
          <w:p w14:paraId="69EE184E" w14:textId="77777777" w:rsidR="00F71A40" w:rsidRPr="00D4552B"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Existing industrial areas are expanding and reaching full potential</w:t>
            </w:r>
          </w:p>
        </w:tc>
        <w:tc>
          <w:tcPr>
            <w:tcW w:w="262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DAEEF3" w:themeFill="accent5" w:themeFillTint="33"/>
          </w:tcPr>
          <w:p w14:paraId="6E274ED6" w14:textId="77777777" w:rsidR="00F71A40" w:rsidRPr="00D4552B"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Extensive new industrial and commercial areas focused around Jandakot Airport and Latitude 32 Industrial area</w:t>
            </w:r>
            <w:r w:rsidR="00C13A02">
              <w:rPr>
                <w:rFonts w:ascii="Arial Narrow" w:hAnsi="Arial Narrow" w:cs="Arial"/>
                <w:szCs w:val="24"/>
              </w:rPr>
              <w:t>.</w:t>
            </w:r>
          </w:p>
        </w:tc>
        <w:tc>
          <w:tcPr>
            <w:tcW w:w="2960" w:type="dxa"/>
            <w:tcBorders>
              <w:top w:val="single" w:sz="8" w:space="0" w:color="FFFFFF" w:themeColor="background1"/>
              <w:left w:val="single" w:sz="8" w:space="0" w:color="FFFFFF" w:themeColor="background1"/>
              <w:bottom w:val="single" w:sz="8" w:space="0" w:color="auto"/>
              <w:right w:val="single" w:sz="8" w:space="0" w:color="auto"/>
            </w:tcBorders>
            <w:shd w:val="clear" w:color="auto" w:fill="DAEEF3" w:themeFill="accent5" w:themeFillTint="33"/>
          </w:tcPr>
          <w:p w14:paraId="75085429" w14:textId="77777777" w:rsidR="00F71A40" w:rsidRPr="003E6F36" w:rsidRDefault="00F71A40" w:rsidP="00C13A02">
            <w:pPr>
              <w:pStyle w:val="BodyText"/>
              <w:spacing w:before="60" w:after="60"/>
              <w:jc w:val="left"/>
              <w:rPr>
                <w:rFonts w:ascii="Arial Narrow" w:hAnsi="Arial Narrow" w:cs="Arial"/>
                <w:szCs w:val="24"/>
              </w:rPr>
            </w:pPr>
            <w:r w:rsidRPr="00D4552B">
              <w:rPr>
                <w:rFonts w:ascii="Arial Narrow" w:hAnsi="Arial Narrow" w:cs="Arial"/>
                <w:szCs w:val="24"/>
              </w:rPr>
              <w:t>Requirement for freight routes and upgrading of existing roads</w:t>
            </w:r>
            <w:r w:rsidR="00C13A02">
              <w:rPr>
                <w:rFonts w:ascii="Arial Narrow" w:hAnsi="Arial Narrow" w:cs="Arial"/>
                <w:szCs w:val="24"/>
              </w:rPr>
              <w:t>.</w:t>
            </w:r>
          </w:p>
        </w:tc>
      </w:tr>
    </w:tbl>
    <w:p w14:paraId="7D1F80B0" w14:textId="77777777" w:rsidR="00F71A40" w:rsidRPr="00EA6639" w:rsidRDefault="00F71A40" w:rsidP="00F71A40">
      <w:pPr>
        <w:pStyle w:val="BodyText"/>
        <w:rPr>
          <w:rFonts w:cs="Arial"/>
          <w:szCs w:val="24"/>
        </w:rPr>
      </w:pPr>
    </w:p>
    <w:p w14:paraId="3C98E78F" w14:textId="77777777" w:rsidR="00363480" w:rsidRPr="00EA6639" w:rsidRDefault="005708F5" w:rsidP="00140CAE">
      <w:pPr>
        <w:pStyle w:val="Heading2"/>
      </w:pPr>
      <w:bookmarkStart w:id="22" w:name="_Toc56419063"/>
      <w:r w:rsidRPr="00EA6639">
        <w:t>4</w:t>
      </w:r>
      <w:r w:rsidR="00363480" w:rsidRPr="00EA6639">
        <w:t>.2</w:t>
      </w:r>
      <w:r w:rsidR="00363480" w:rsidRPr="00EA6639">
        <w:tab/>
        <w:t>Changes in Technology</w:t>
      </w:r>
      <w:bookmarkEnd w:id="22"/>
    </w:p>
    <w:p w14:paraId="50F82A19" w14:textId="77777777" w:rsidR="004C1D4C" w:rsidRPr="00EA6639" w:rsidRDefault="004C1D4C" w:rsidP="00090D9C">
      <w:pPr>
        <w:pStyle w:val="BodyText"/>
        <w:rPr>
          <w:rFonts w:cs="Arial"/>
          <w:szCs w:val="24"/>
        </w:rPr>
      </w:pPr>
      <w:r w:rsidRPr="00EA6639">
        <w:rPr>
          <w:rFonts w:cs="Arial"/>
          <w:szCs w:val="24"/>
        </w:rPr>
        <w:t xml:space="preserve">Technology changes </w:t>
      </w:r>
      <w:r w:rsidR="00BD1A87" w:rsidRPr="00EA6639">
        <w:rPr>
          <w:rFonts w:cs="Arial"/>
          <w:szCs w:val="24"/>
        </w:rPr>
        <w:t xml:space="preserve">within the </w:t>
      </w:r>
      <w:r w:rsidR="00E070C1">
        <w:rPr>
          <w:rFonts w:cs="Arial"/>
          <w:szCs w:val="24"/>
        </w:rPr>
        <w:t>footpath</w:t>
      </w:r>
      <w:r w:rsidR="00BD1A87" w:rsidRPr="00EA6639">
        <w:rPr>
          <w:rFonts w:cs="Arial"/>
          <w:szCs w:val="24"/>
        </w:rPr>
        <w:t xml:space="preserve"> construction industry </w:t>
      </w:r>
      <w:r w:rsidRPr="00EA6639">
        <w:rPr>
          <w:rFonts w:cs="Arial"/>
          <w:szCs w:val="24"/>
        </w:rPr>
        <w:t xml:space="preserve">are forecast to have little </w:t>
      </w:r>
      <w:r w:rsidR="000A2516" w:rsidRPr="00EA6639">
        <w:rPr>
          <w:rFonts w:cs="Arial"/>
          <w:szCs w:val="24"/>
        </w:rPr>
        <w:t>e</w:t>
      </w:r>
      <w:r w:rsidRPr="00EA6639">
        <w:rPr>
          <w:rFonts w:cs="Arial"/>
          <w:szCs w:val="24"/>
        </w:rPr>
        <w:t>ffect on the delivery o</w:t>
      </w:r>
      <w:r w:rsidR="00CF6A53" w:rsidRPr="00EA6639">
        <w:rPr>
          <w:rFonts w:cs="Arial"/>
          <w:szCs w:val="24"/>
        </w:rPr>
        <w:t>f services covered within this plan</w:t>
      </w:r>
      <w:r w:rsidR="00090D9C" w:rsidRPr="00EA6639">
        <w:rPr>
          <w:rFonts w:cs="Arial"/>
          <w:szCs w:val="24"/>
        </w:rPr>
        <w:t>.</w:t>
      </w:r>
    </w:p>
    <w:p w14:paraId="5B73D00E" w14:textId="77777777" w:rsidR="00363480" w:rsidRPr="00EA6639" w:rsidRDefault="005708F5" w:rsidP="00140CAE">
      <w:pPr>
        <w:pStyle w:val="Heading2"/>
      </w:pPr>
      <w:bookmarkStart w:id="23" w:name="_Toc56419064"/>
      <w:r w:rsidRPr="00EA6639">
        <w:t>4</w:t>
      </w:r>
      <w:r w:rsidR="00363480" w:rsidRPr="00EA6639">
        <w:t>.3</w:t>
      </w:r>
      <w:r w:rsidR="00363480" w:rsidRPr="00EA6639">
        <w:tab/>
        <w:t>Demand Management Plan</w:t>
      </w:r>
      <w:bookmarkEnd w:id="23"/>
    </w:p>
    <w:p w14:paraId="0501942A" w14:textId="77777777" w:rsidR="0087184B" w:rsidRPr="00BA0CA7" w:rsidRDefault="0087184B" w:rsidP="0087184B">
      <w:pPr>
        <w:pStyle w:val="BodyText"/>
        <w:rPr>
          <w:szCs w:val="24"/>
        </w:rPr>
      </w:pPr>
      <w:r w:rsidRPr="00BA0CA7">
        <w:rPr>
          <w:szCs w:val="24"/>
        </w:rPr>
        <w:t xml:space="preserve">Demand management strategies provide alternatives to the creation of new assets in order to meet </w:t>
      </w:r>
      <w:proofErr w:type="gramStart"/>
      <w:r w:rsidRPr="00BA0CA7">
        <w:rPr>
          <w:szCs w:val="24"/>
        </w:rPr>
        <w:t>demand, and</w:t>
      </w:r>
      <w:proofErr w:type="gramEnd"/>
      <w:r w:rsidRPr="00BA0CA7">
        <w:rPr>
          <w:szCs w:val="24"/>
        </w:rPr>
        <w:t xml:space="preserve"> look at ways to modify customer demands so that the utilisation of existing assets is maximised and the need for new assets deferred or reduced. The objective of demand management is to actively seek to modify customer demands for services in order </w:t>
      </w:r>
      <w:proofErr w:type="gramStart"/>
      <w:r w:rsidRPr="00BA0CA7">
        <w:rPr>
          <w:szCs w:val="24"/>
        </w:rPr>
        <w:t>to;</w:t>
      </w:r>
      <w:proofErr w:type="gramEnd"/>
    </w:p>
    <w:p w14:paraId="289DB207" w14:textId="77777777" w:rsidR="0087184B" w:rsidRPr="00BA0CA7" w:rsidRDefault="0087184B" w:rsidP="00A06614">
      <w:pPr>
        <w:numPr>
          <w:ilvl w:val="0"/>
          <w:numId w:val="23"/>
        </w:numPr>
        <w:autoSpaceDE w:val="0"/>
        <w:autoSpaceDN w:val="0"/>
        <w:adjustRightInd w:val="0"/>
        <w:spacing w:before="120" w:after="0"/>
        <w:rPr>
          <w:rFonts w:cs="Arial"/>
          <w:szCs w:val="24"/>
        </w:rPr>
      </w:pPr>
      <w:r w:rsidRPr="00BA0CA7">
        <w:rPr>
          <w:rFonts w:cs="Arial"/>
          <w:szCs w:val="24"/>
        </w:rPr>
        <w:t>Optimise the utilisation and performance of existing assets,</w:t>
      </w:r>
    </w:p>
    <w:p w14:paraId="44C374CF" w14:textId="77777777" w:rsidR="0087184B" w:rsidRPr="00BA0CA7" w:rsidRDefault="0087184B" w:rsidP="00A06614">
      <w:pPr>
        <w:numPr>
          <w:ilvl w:val="0"/>
          <w:numId w:val="23"/>
        </w:numPr>
        <w:autoSpaceDE w:val="0"/>
        <w:autoSpaceDN w:val="0"/>
        <w:adjustRightInd w:val="0"/>
        <w:spacing w:before="120" w:after="0"/>
        <w:rPr>
          <w:rFonts w:cs="Arial"/>
          <w:szCs w:val="24"/>
        </w:rPr>
      </w:pPr>
      <w:r w:rsidRPr="00BA0CA7">
        <w:rPr>
          <w:rFonts w:cs="Arial"/>
          <w:szCs w:val="24"/>
        </w:rPr>
        <w:t>Reduce or defer the need for new assets,</w:t>
      </w:r>
    </w:p>
    <w:p w14:paraId="196500DE" w14:textId="77777777" w:rsidR="0087184B" w:rsidRPr="00BA0CA7" w:rsidRDefault="0087184B" w:rsidP="00A06614">
      <w:pPr>
        <w:numPr>
          <w:ilvl w:val="0"/>
          <w:numId w:val="23"/>
        </w:numPr>
        <w:autoSpaceDE w:val="0"/>
        <w:autoSpaceDN w:val="0"/>
        <w:adjustRightInd w:val="0"/>
        <w:spacing w:before="120" w:after="0"/>
        <w:rPr>
          <w:rFonts w:cs="Arial"/>
          <w:szCs w:val="24"/>
        </w:rPr>
      </w:pPr>
      <w:r w:rsidRPr="00BA0CA7">
        <w:rPr>
          <w:rFonts w:cs="Arial"/>
          <w:szCs w:val="24"/>
        </w:rPr>
        <w:t>Meet organisation’s strategic objectives,</w:t>
      </w:r>
    </w:p>
    <w:p w14:paraId="52DF0C0E" w14:textId="77777777" w:rsidR="0087184B" w:rsidRPr="00BA0CA7" w:rsidRDefault="0087184B" w:rsidP="00A06614">
      <w:pPr>
        <w:numPr>
          <w:ilvl w:val="0"/>
          <w:numId w:val="23"/>
        </w:numPr>
        <w:autoSpaceDE w:val="0"/>
        <w:autoSpaceDN w:val="0"/>
        <w:adjustRightInd w:val="0"/>
        <w:spacing w:before="120" w:after="0"/>
        <w:rPr>
          <w:rFonts w:cs="Arial"/>
          <w:szCs w:val="24"/>
        </w:rPr>
      </w:pPr>
      <w:r w:rsidRPr="00BA0CA7">
        <w:rPr>
          <w:rFonts w:cs="Arial"/>
          <w:szCs w:val="24"/>
        </w:rPr>
        <w:t>Deliver a more sustainable service, and</w:t>
      </w:r>
    </w:p>
    <w:p w14:paraId="51DE52E5" w14:textId="77777777" w:rsidR="0087184B" w:rsidRPr="00BA0CA7" w:rsidRDefault="0087184B" w:rsidP="00A06614">
      <w:pPr>
        <w:numPr>
          <w:ilvl w:val="0"/>
          <w:numId w:val="23"/>
        </w:numPr>
        <w:autoSpaceDE w:val="0"/>
        <w:autoSpaceDN w:val="0"/>
        <w:adjustRightInd w:val="0"/>
        <w:spacing w:before="120" w:after="120"/>
        <w:rPr>
          <w:rFonts w:cs="Arial"/>
          <w:szCs w:val="24"/>
        </w:rPr>
      </w:pPr>
      <w:r w:rsidRPr="00BA0CA7">
        <w:rPr>
          <w:rFonts w:cs="Arial"/>
          <w:szCs w:val="24"/>
        </w:rPr>
        <w:t>Respond to changing customer needs.</w:t>
      </w:r>
    </w:p>
    <w:p w14:paraId="591F04EA" w14:textId="77777777" w:rsidR="0087184B" w:rsidRPr="00BA0CA7" w:rsidRDefault="0087184B" w:rsidP="0087184B">
      <w:pPr>
        <w:autoSpaceDE w:val="0"/>
        <w:autoSpaceDN w:val="0"/>
        <w:adjustRightInd w:val="0"/>
        <w:spacing w:before="120"/>
        <w:ind w:left="720"/>
        <w:rPr>
          <w:rFonts w:cs="Arial"/>
          <w:szCs w:val="24"/>
        </w:rPr>
      </w:pPr>
    </w:p>
    <w:p w14:paraId="160C6A2A" w14:textId="77777777" w:rsidR="0087184B" w:rsidRPr="00BA0CA7" w:rsidRDefault="0087184B" w:rsidP="0087184B">
      <w:pPr>
        <w:pStyle w:val="BodyText"/>
        <w:rPr>
          <w:szCs w:val="24"/>
        </w:rPr>
      </w:pPr>
      <w:r w:rsidRPr="00BA0CA7">
        <w:rPr>
          <w:szCs w:val="24"/>
        </w:rPr>
        <w:t>The opportunities identified to date for demand management, the impact these drivers may have on future service delivery and the utilisation of these assets are shown in the Table 4.3.1.</w:t>
      </w:r>
    </w:p>
    <w:p w14:paraId="755188F9" w14:textId="77777777" w:rsidR="0087184B" w:rsidRDefault="0087184B" w:rsidP="0087184B">
      <w:r w:rsidRPr="00BA0CA7">
        <w:t>Demand for new services will be recognised through a combination of managing and upgrading of existing assets and providing new assets. Demand management practices include non-asset solutions, insuring against risks and managing failures.</w:t>
      </w:r>
    </w:p>
    <w:p w14:paraId="5400AFBE" w14:textId="77777777" w:rsidR="001B38BD" w:rsidRPr="00140CAE" w:rsidRDefault="001B38BD" w:rsidP="00616E47">
      <w:pPr>
        <w:keepNext/>
        <w:rPr>
          <w:b/>
          <w:iCs/>
          <w:color w:val="0070C0"/>
          <w:szCs w:val="22"/>
        </w:rPr>
      </w:pPr>
      <w:r w:rsidRPr="00140CAE">
        <w:rPr>
          <w:b/>
          <w:iCs/>
          <w:color w:val="0070C0"/>
          <w:szCs w:val="22"/>
        </w:rPr>
        <w:lastRenderedPageBreak/>
        <w:t>Table 4.3.1</w:t>
      </w:r>
      <w:r w:rsidRPr="00140CAE">
        <w:rPr>
          <w:b/>
          <w:iCs/>
          <w:color w:val="0070C0"/>
          <w:szCs w:val="22"/>
        </w:rPr>
        <w:tab/>
        <w:t>Demand Management Plan Summary</w:t>
      </w:r>
    </w:p>
    <w:tbl>
      <w:tblPr>
        <w:tblStyle w:val="MediumShading1-Accent5"/>
        <w:tblW w:w="0" w:type="auto"/>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Look w:val="00A0" w:firstRow="1" w:lastRow="0" w:firstColumn="1" w:lastColumn="0" w:noHBand="0" w:noVBand="0"/>
      </w:tblPr>
      <w:tblGrid>
        <w:gridCol w:w="1809"/>
        <w:gridCol w:w="3544"/>
        <w:gridCol w:w="3890"/>
      </w:tblGrid>
      <w:tr w:rsidR="00E23B15" w:rsidRPr="00FC5DA4" w14:paraId="2C12F2C3" w14:textId="77777777" w:rsidTr="00FC61FE">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auto"/>
              <w:left w:val="none" w:sz="0" w:space="0" w:color="auto"/>
              <w:bottom w:val="thinThickSmallGap" w:sz="24" w:space="0" w:color="auto"/>
              <w:right w:val="none" w:sz="0" w:space="0" w:color="auto"/>
            </w:tcBorders>
            <w:shd w:val="clear" w:color="auto" w:fill="4BACC6"/>
            <w:vAlign w:val="center"/>
          </w:tcPr>
          <w:p w14:paraId="3962EC75" w14:textId="77777777" w:rsidR="008E1E35" w:rsidRPr="00E760B6" w:rsidRDefault="008E1E35">
            <w:pPr>
              <w:pStyle w:val="BodyText"/>
              <w:spacing w:after="0"/>
              <w:jc w:val="center"/>
              <w:rPr>
                <w:rFonts w:ascii="Arial Narrow" w:hAnsi="Arial Narrow" w:cs="Arial"/>
                <w:szCs w:val="24"/>
              </w:rPr>
            </w:pPr>
            <w:r w:rsidRPr="00E760B6">
              <w:rPr>
                <w:rFonts w:ascii="Arial Narrow" w:hAnsi="Arial Narrow" w:cs="Arial"/>
                <w:szCs w:val="24"/>
              </w:rPr>
              <w:t>Demand Driver</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auto"/>
              <w:left w:val="none" w:sz="0" w:space="0" w:color="auto"/>
              <w:bottom w:val="thinThickSmallGap" w:sz="24" w:space="0" w:color="auto"/>
              <w:right w:val="none" w:sz="0" w:space="0" w:color="auto"/>
            </w:tcBorders>
            <w:shd w:val="clear" w:color="auto" w:fill="4BACC6"/>
            <w:vAlign w:val="center"/>
          </w:tcPr>
          <w:p w14:paraId="23161594" w14:textId="77777777" w:rsidR="008E1E35" w:rsidRPr="00E760B6" w:rsidRDefault="008E1E35">
            <w:pPr>
              <w:pStyle w:val="BodyText"/>
              <w:spacing w:after="0"/>
              <w:jc w:val="center"/>
              <w:rPr>
                <w:rFonts w:ascii="Arial Narrow" w:hAnsi="Arial Narrow" w:cs="Arial"/>
                <w:szCs w:val="24"/>
              </w:rPr>
            </w:pPr>
            <w:r w:rsidRPr="00E760B6">
              <w:rPr>
                <w:rFonts w:ascii="Arial Narrow" w:hAnsi="Arial Narrow" w:cs="Arial"/>
                <w:szCs w:val="24"/>
              </w:rPr>
              <w:t>Impact on Services</w:t>
            </w:r>
          </w:p>
        </w:tc>
        <w:tc>
          <w:tcPr>
            <w:tcW w:w="3890" w:type="dxa"/>
            <w:tcBorders>
              <w:top w:val="single" w:sz="8" w:space="0" w:color="auto"/>
              <w:left w:val="none" w:sz="0" w:space="0" w:color="auto"/>
              <w:bottom w:val="thinThickSmallGap" w:sz="24" w:space="0" w:color="auto"/>
              <w:right w:val="none" w:sz="0" w:space="0" w:color="auto"/>
            </w:tcBorders>
            <w:shd w:val="clear" w:color="auto" w:fill="4BACC6"/>
            <w:vAlign w:val="center"/>
          </w:tcPr>
          <w:p w14:paraId="214696C6" w14:textId="77777777" w:rsidR="008E1E35" w:rsidRPr="00E760B6" w:rsidRDefault="008E1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Demand Management Plan</w:t>
            </w:r>
          </w:p>
        </w:tc>
      </w:tr>
      <w:tr w:rsidR="00E23B15" w:rsidRPr="00FC5DA4" w14:paraId="715FC8E6" w14:textId="77777777" w:rsidTr="00FC6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thinThickSmallGap" w:sz="24" w:space="0" w:color="auto"/>
              <w:bottom w:val="single" w:sz="8" w:space="0" w:color="FFFFFF" w:themeColor="background1"/>
              <w:right w:val="thinThickSmallGap" w:sz="24" w:space="0" w:color="auto"/>
            </w:tcBorders>
            <w:shd w:val="clear" w:color="auto" w:fill="B6DDE8"/>
          </w:tcPr>
          <w:p w14:paraId="6DF7EB98" w14:textId="77777777" w:rsidR="008E1E35" w:rsidRPr="00E760B6" w:rsidRDefault="008E1E35" w:rsidP="005B6B9E">
            <w:pPr>
              <w:pStyle w:val="BodyText"/>
              <w:spacing w:after="0"/>
              <w:jc w:val="left"/>
              <w:rPr>
                <w:rFonts w:ascii="Arial Narrow" w:hAnsi="Arial Narrow" w:cs="Arial"/>
                <w:b w:val="0"/>
                <w:szCs w:val="24"/>
              </w:rPr>
            </w:pPr>
            <w:r w:rsidRPr="00E760B6">
              <w:rPr>
                <w:rFonts w:ascii="Arial Narrow" w:hAnsi="Arial Narrow" w:cs="Arial"/>
                <w:szCs w:val="24"/>
              </w:rPr>
              <w:t>Population Increase</w:t>
            </w:r>
          </w:p>
        </w:tc>
        <w:tc>
          <w:tcPr>
            <w:cnfStyle w:val="000010000000" w:firstRow="0" w:lastRow="0" w:firstColumn="0" w:lastColumn="0" w:oddVBand="1" w:evenVBand="0" w:oddHBand="0" w:evenHBand="0" w:firstRowFirstColumn="0" w:firstRowLastColumn="0" w:lastRowFirstColumn="0" w:lastRowLastColumn="0"/>
            <w:tcW w:w="3544" w:type="dxa"/>
            <w:tcBorders>
              <w:top w:val="thinThickSmallGap" w:sz="24" w:space="0" w:color="auto"/>
              <w:left w:val="thinThickSmallGap" w:sz="24" w:space="0" w:color="auto"/>
              <w:bottom w:val="single" w:sz="8" w:space="0" w:color="FFFFFF" w:themeColor="background1"/>
              <w:right w:val="none" w:sz="0" w:space="0" w:color="auto"/>
            </w:tcBorders>
            <w:shd w:val="clear" w:color="auto" w:fill="B6DDE8"/>
          </w:tcPr>
          <w:p w14:paraId="5B160E5E" w14:textId="77777777" w:rsidR="008E1E35" w:rsidRPr="00E760B6" w:rsidRDefault="008E1E35" w:rsidP="005B6B9E">
            <w:pPr>
              <w:pStyle w:val="BodyText"/>
              <w:numPr>
                <w:ilvl w:val="0"/>
                <w:numId w:val="24"/>
              </w:numPr>
              <w:spacing w:after="0"/>
              <w:ind w:left="360"/>
              <w:jc w:val="left"/>
              <w:rPr>
                <w:rFonts w:ascii="Arial Narrow" w:hAnsi="Arial Narrow" w:cs="Arial"/>
                <w:szCs w:val="24"/>
              </w:rPr>
            </w:pPr>
            <w:r w:rsidRPr="00E760B6">
              <w:rPr>
                <w:rFonts w:ascii="Arial Narrow" w:hAnsi="Arial Narrow" w:cs="Arial"/>
                <w:szCs w:val="24"/>
              </w:rPr>
              <w:t>Strain on existing path assets</w:t>
            </w:r>
          </w:p>
          <w:p w14:paraId="78321891" w14:textId="77777777" w:rsidR="008E1E35" w:rsidRPr="00E760B6" w:rsidRDefault="008E1E35" w:rsidP="005B6B9E">
            <w:pPr>
              <w:pStyle w:val="BodyText"/>
              <w:numPr>
                <w:ilvl w:val="0"/>
                <w:numId w:val="24"/>
              </w:numPr>
              <w:spacing w:after="0"/>
              <w:ind w:left="360"/>
              <w:jc w:val="left"/>
              <w:rPr>
                <w:rFonts w:ascii="Arial Narrow" w:hAnsi="Arial Narrow" w:cs="Arial"/>
                <w:szCs w:val="24"/>
              </w:rPr>
            </w:pPr>
            <w:r w:rsidRPr="00E760B6">
              <w:rPr>
                <w:rFonts w:ascii="Arial Narrow" w:hAnsi="Arial Narrow" w:cs="Arial"/>
                <w:szCs w:val="24"/>
              </w:rPr>
              <w:t>Community dissatisfaction</w:t>
            </w:r>
          </w:p>
          <w:p w14:paraId="34E56C83" w14:textId="77777777" w:rsidR="008E1E35" w:rsidRPr="00E760B6" w:rsidRDefault="008E1E35" w:rsidP="005B6B9E">
            <w:pPr>
              <w:pStyle w:val="BodyText"/>
              <w:spacing w:after="0"/>
              <w:jc w:val="left"/>
              <w:rPr>
                <w:rFonts w:ascii="Arial Narrow" w:hAnsi="Arial Narrow" w:cs="Arial"/>
                <w:szCs w:val="24"/>
              </w:rPr>
            </w:pPr>
          </w:p>
        </w:tc>
        <w:tc>
          <w:tcPr>
            <w:tcW w:w="3890" w:type="dxa"/>
            <w:tcBorders>
              <w:top w:val="thinThickSmallGap" w:sz="24" w:space="0" w:color="auto"/>
              <w:left w:val="none" w:sz="0" w:space="0" w:color="auto"/>
              <w:bottom w:val="single" w:sz="8" w:space="0" w:color="FFFFFF" w:themeColor="background1"/>
            </w:tcBorders>
            <w:shd w:val="clear" w:color="auto" w:fill="B6DDE8"/>
          </w:tcPr>
          <w:p w14:paraId="60809E8D" w14:textId="77777777" w:rsidR="008E1E35" w:rsidRPr="00E760B6" w:rsidRDefault="008E1E35" w:rsidP="005B6B9E">
            <w:pPr>
              <w:pStyle w:val="BodyText"/>
              <w:numPr>
                <w:ilvl w:val="0"/>
                <w:numId w:val="24"/>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 xml:space="preserve">A well-considered town planning scheme </w:t>
            </w:r>
          </w:p>
          <w:p w14:paraId="414F7392" w14:textId="77777777" w:rsidR="008E1E35" w:rsidRPr="00E760B6" w:rsidRDefault="008E1E35" w:rsidP="005B6B9E">
            <w:pPr>
              <w:pStyle w:val="BodyText"/>
              <w:numPr>
                <w:ilvl w:val="0"/>
                <w:numId w:val="24"/>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 xml:space="preserve">Acquire new/expand existing additional path assets to cope with demand. </w:t>
            </w:r>
          </w:p>
          <w:p w14:paraId="2011748B" w14:textId="77777777" w:rsidR="008E1E35" w:rsidRPr="00E760B6" w:rsidRDefault="008E1E35" w:rsidP="005B6B9E">
            <w:pPr>
              <w:pStyle w:val="BodyText"/>
              <w:numPr>
                <w:ilvl w:val="0"/>
                <w:numId w:val="24"/>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Ensure planning any new assets are fit for purpose and financially sustainable</w:t>
            </w:r>
          </w:p>
          <w:p w14:paraId="58B0BD6E" w14:textId="77777777" w:rsidR="008E1E35" w:rsidRPr="00E760B6" w:rsidRDefault="008E1E35" w:rsidP="005B6B9E">
            <w:pPr>
              <w:pStyle w:val="BodyText"/>
              <w:numPr>
                <w:ilvl w:val="0"/>
                <w:numId w:val="24"/>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 xml:space="preserve">Engage with community to ensure expectations are understood and managed. </w:t>
            </w:r>
          </w:p>
          <w:p w14:paraId="0F600300" w14:textId="77777777" w:rsidR="008E1E35" w:rsidRPr="00E760B6" w:rsidRDefault="008E1E35" w:rsidP="005B6B9E">
            <w:pPr>
              <w:pStyle w:val="BodyText"/>
              <w:numPr>
                <w:ilvl w:val="0"/>
                <w:numId w:val="24"/>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760B6">
              <w:rPr>
                <w:rFonts w:ascii="Arial Narrow" w:hAnsi="Arial Narrow" w:cs="Arial"/>
                <w:szCs w:val="24"/>
              </w:rPr>
              <w:t>Review Service levels to manage community expectation</w:t>
            </w:r>
          </w:p>
        </w:tc>
      </w:tr>
      <w:tr w:rsidR="00E23B15" w:rsidRPr="00FC5DA4" w14:paraId="5B062B49" w14:textId="77777777" w:rsidTr="00FC6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FFFFFF" w:themeColor="background1"/>
              <w:bottom w:val="single" w:sz="8" w:space="0" w:color="FFFFFF" w:themeColor="background1"/>
              <w:right w:val="thinThickSmallGap" w:sz="24" w:space="0" w:color="auto"/>
            </w:tcBorders>
            <w:shd w:val="clear" w:color="auto" w:fill="DAEEF3"/>
          </w:tcPr>
          <w:p w14:paraId="02AB1EB6" w14:textId="77777777" w:rsidR="008E1E35" w:rsidRPr="00E760B6" w:rsidRDefault="008E1E35" w:rsidP="005B6B9E">
            <w:pPr>
              <w:pStyle w:val="BodyText"/>
              <w:spacing w:after="0"/>
              <w:rPr>
                <w:rFonts w:ascii="Arial Narrow" w:hAnsi="Arial Narrow" w:cs="Arial"/>
                <w:b w:val="0"/>
                <w:szCs w:val="24"/>
              </w:rPr>
            </w:pPr>
            <w:r w:rsidRPr="00E760B6">
              <w:rPr>
                <w:rFonts w:ascii="Arial Narrow" w:hAnsi="Arial Narrow" w:cs="Arial"/>
                <w:szCs w:val="24"/>
              </w:rPr>
              <w:t>Changing Demographic</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8" w:space="0" w:color="FFFFFF" w:themeColor="background1"/>
              <w:right w:val="none" w:sz="0" w:space="0" w:color="auto"/>
            </w:tcBorders>
            <w:shd w:val="clear" w:color="auto" w:fill="DAEEF3"/>
          </w:tcPr>
          <w:p w14:paraId="79C5E908" w14:textId="77777777" w:rsidR="008E1E35" w:rsidRPr="00E760B6" w:rsidRDefault="008E1E35" w:rsidP="005B6B9E">
            <w:pPr>
              <w:pStyle w:val="BodyText"/>
              <w:numPr>
                <w:ilvl w:val="0"/>
                <w:numId w:val="25"/>
              </w:numPr>
              <w:spacing w:after="0"/>
              <w:jc w:val="left"/>
              <w:rPr>
                <w:rFonts w:ascii="Arial Narrow" w:hAnsi="Arial Narrow" w:cs="Arial"/>
                <w:szCs w:val="24"/>
              </w:rPr>
            </w:pPr>
            <w:r w:rsidRPr="00E760B6">
              <w:rPr>
                <w:rFonts w:ascii="Arial Narrow" w:hAnsi="Arial Narrow" w:cs="Arial"/>
                <w:szCs w:val="24"/>
              </w:rPr>
              <w:t>Potential change in service requirement – a younger more active population will require access to adequate &amp; connected path network</w:t>
            </w:r>
          </w:p>
        </w:tc>
        <w:tc>
          <w:tcPr>
            <w:tcW w:w="3890" w:type="dxa"/>
            <w:tcBorders>
              <w:top w:val="single" w:sz="8" w:space="0" w:color="FFFFFF" w:themeColor="background1"/>
              <w:left w:val="none" w:sz="0" w:space="0" w:color="auto"/>
              <w:bottom w:val="single" w:sz="8" w:space="0" w:color="FFFFFF" w:themeColor="background1"/>
            </w:tcBorders>
            <w:shd w:val="clear" w:color="auto" w:fill="DAEEF3"/>
          </w:tcPr>
          <w:p w14:paraId="3889CB99" w14:textId="77777777" w:rsidR="008E1E35" w:rsidRPr="00E760B6" w:rsidRDefault="008E1E35" w:rsidP="005B6B9E">
            <w:pPr>
              <w:pStyle w:val="BodyText"/>
              <w:numPr>
                <w:ilvl w:val="0"/>
                <w:numId w:val="25"/>
              </w:numPr>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4"/>
              </w:rPr>
            </w:pPr>
            <w:r w:rsidRPr="00E760B6">
              <w:rPr>
                <w:rFonts w:ascii="Arial Narrow" w:hAnsi="Arial Narrow" w:cs="Arial"/>
                <w:szCs w:val="24"/>
              </w:rPr>
              <w:t>Monitor demographic trends within the population</w:t>
            </w:r>
          </w:p>
          <w:p w14:paraId="19548886" w14:textId="77777777" w:rsidR="008E1E35" w:rsidRPr="00E760B6" w:rsidRDefault="008E1E35" w:rsidP="005B6B9E">
            <w:pPr>
              <w:pStyle w:val="BodyText"/>
              <w:numPr>
                <w:ilvl w:val="0"/>
                <w:numId w:val="25"/>
              </w:numPr>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4"/>
              </w:rPr>
            </w:pPr>
            <w:r w:rsidRPr="00E760B6">
              <w:rPr>
                <w:rFonts w:ascii="Arial Narrow" w:hAnsi="Arial Narrow" w:cs="Arial"/>
                <w:szCs w:val="24"/>
              </w:rPr>
              <w:t>Engage with community to ensure expectations are understood and managed.</w:t>
            </w:r>
          </w:p>
        </w:tc>
      </w:tr>
      <w:tr w:rsidR="00E760B6" w:rsidRPr="00FC5DA4" w14:paraId="7B793CA0" w14:textId="77777777" w:rsidTr="00FC6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FFFFFF" w:themeColor="background1"/>
              <w:bottom w:val="single" w:sz="8" w:space="0" w:color="auto"/>
              <w:right w:val="thinThickSmallGap" w:sz="24" w:space="0" w:color="auto"/>
            </w:tcBorders>
            <w:shd w:val="clear" w:color="auto" w:fill="B6DDE8" w:themeFill="accent5" w:themeFillTint="66"/>
          </w:tcPr>
          <w:p w14:paraId="5222716E" w14:textId="6795D790" w:rsidR="00E760B6" w:rsidRPr="00E760B6" w:rsidRDefault="00E760B6" w:rsidP="00E760B6">
            <w:pPr>
              <w:pStyle w:val="BodyText"/>
              <w:spacing w:after="0"/>
              <w:jc w:val="left"/>
              <w:rPr>
                <w:rFonts w:ascii="Arial Narrow" w:hAnsi="Arial Narrow" w:cs="Arial"/>
                <w:szCs w:val="24"/>
              </w:rPr>
            </w:pPr>
            <w:r w:rsidRPr="00E760B6">
              <w:rPr>
                <w:rFonts w:ascii="Arial Narrow" w:hAnsi="Arial Narrow" w:cs="Arial"/>
                <w:szCs w:val="24"/>
              </w:rPr>
              <w:t>Global Age Friendly Cities - The World Health Organisation (WHO)</w:t>
            </w:r>
          </w:p>
          <w:p w14:paraId="090BA299" w14:textId="77777777" w:rsidR="00E760B6" w:rsidRDefault="00E760B6" w:rsidP="005B6B9E">
            <w:pPr>
              <w:pStyle w:val="BodyText"/>
              <w:spacing w:after="0"/>
              <w:rPr>
                <w:rFonts w:ascii="Arial Narrow" w:hAnsi="Arial Narrow" w:cs="Arial"/>
                <w:b w:val="0"/>
                <w:bCs w:val="0"/>
                <w:szCs w:val="24"/>
              </w:rPr>
            </w:pPr>
          </w:p>
          <w:p w14:paraId="4DE81409" w14:textId="77777777" w:rsidR="00E760B6" w:rsidRDefault="00E760B6" w:rsidP="005B6B9E">
            <w:pPr>
              <w:pStyle w:val="BodyText"/>
              <w:spacing w:after="0"/>
              <w:rPr>
                <w:rFonts w:ascii="Arial Narrow" w:hAnsi="Arial Narrow" w:cs="Arial"/>
                <w:b w:val="0"/>
                <w:bCs w:val="0"/>
                <w:szCs w:val="24"/>
              </w:rPr>
            </w:pPr>
          </w:p>
          <w:p w14:paraId="7BD51BAA" w14:textId="77777777" w:rsidR="00E760B6" w:rsidRDefault="00E760B6" w:rsidP="005B6B9E">
            <w:pPr>
              <w:pStyle w:val="BodyText"/>
              <w:spacing w:after="0"/>
              <w:rPr>
                <w:rFonts w:ascii="Arial Narrow" w:hAnsi="Arial Narrow" w:cs="Arial"/>
                <w:b w:val="0"/>
                <w:bCs w:val="0"/>
                <w:szCs w:val="24"/>
              </w:rPr>
            </w:pPr>
          </w:p>
          <w:p w14:paraId="54952882" w14:textId="5B558B7D" w:rsidR="00E760B6" w:rsidRPr="00E760B6" w:rsidRDefault="00E760B6" w:rsidP="005B6B9E">
            <w:pPr>
              <w:pStyle w:val="BodyText"/>
              <w:spacing w:after="0"/>
              <w:rPr>
                <w:rFonts w:ascii="Arial Narrow" w:hAnsi="Arial Narrow" w:cs="Arial"/>
                <w:szCs w:val="24"/>
              </w:rPr>
            </w:pP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8" w:space="0" w:color="auto"/>
              <w:right w:val="single" w:sz="8" w:space="0" w:color="FFFFFF" w:themeColor="background1"/>
            </w:tcBorders>
            <w:shd w:val="clear" w:color="auto" w:fill="B6DDE8" w:themeFill="accent5" w:themeFillTint="66"/>
          </w:tcPr>
          <w:p w14:paraId="793FE7DA" w14:textId="55D0FE3B" w:rsidR="00E760B6" w:rsidRPr="00E760B6" w:rsidRDefault="00FC61FE" w:rsidP="005B6B9E">
            <w:pPr>
              <w:pStyle w:val="BodyText"/>
              <w:numPr>
                <w:ilvl w:val="0"/>
                <w:numId w:val="25"/>
              </w:numPr>
              <w:spacing w:after="0"/>
              <w:jc w:val="left"/>
              <w:rPr>
                <w:rFonts w:ascii="Arial Narrow" w:hAnsi="Arial Narrow" w:cs="Arial"/>
                <w:szCs w:val="24"/>
              </w:rPr>
            </w:pPr>
            <w:r>
              <w:rPr>
                <w:rFonts w:ascii="Arial Narrow" w:hAnsi="Arial Narrow" w:cs="Arial"/>
                <w:szCs w:val="24"/>
              </w:rPr>
              <w:t>Upgrade of existing or new infrastructure required to ensure compliance with the Age Friendly Cities. Principles include community and healthcare, transportation, housing, social participation, outdoor spaces and buildings, respect and social inclusion, civic participation, employment and communication and information.</w:t>
            </w:r>
          </w:p>
        </w:tc>
        <w:tc>
          <w:tcPr>
            <w:tcW w:w="3890" w:type="dxa"/>
            <w:tcBorders>
              <w:top w:val="single" w:sz="8" w:space="0" w:color="FFFFFF" w:themeColor="background1"/>
              <w:left w:val="single" w:sz="8" w:space="0" w:color="FFFFFF" w:themeColor="background1"/>
              <w:bottom w:val="single" w:sz="8" w:space="0" w:color="auto"/>
            </w:tcBorders>
            <w:shd w:val="clear" w:color="auto" w:fill="B6DDE8" w:themeFill="accent5" w:themeFillTint="66"/>
          </w:tcPr>
          <w:p w14:paraId="23AE943A" w14:textId="7D1303FC" w:rsidR="00E760B6" w:rsidRPr="00E760B6" w:rsidRDefault="00FC61FE" w:rsidP="005B6B9E">
            <w:pPr>
              <w:pStyle w:val="BodyText"/>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City of Cockburn Age Friendly Strategy 2016 - 2021</w:t>
            </w:r>
          </w:p>
        </w:tc>
      </w:tr>
    </w:tbl>
    <w:p w14:paraId="16B7689D" w14:textId="77777777" w:rsidR="008E1E35" w:rsidRDefault="008E1E35" w:rsidP="00BA0CA7">
      <w:pPr>
        <w:pStyle w:val="BodyText"/>
      </w:pPr>
    </w:p>
    <w:p w14:paraId="15350164" w14:textId="77777777" w:rsidR="000C55EE" w:rsidRDefault="000C55EE" w:rsidP="00BA0CA7">
      <w:pPr>
        <w:pStyle w:val="BodyText"/>
      </w:pPr>
    </w:p>
    <w:p w14:paraId="2D830F34" w14:textId="77777777" w:rsidR="000C55EE" w:rsidRDefault="000C55EE" w:rsidP="00BA0CA7">
      <w:pPr>
        <w:pStyle w:val="BodyText"/>
      </w:pPr>
    </w:p>
    <w:p w14:paraId="17EB085F" w14:textId="77777777" w:rsidR="000C55EE" w:rsidRDefault="000C55EE" w:rsidP="00BA0CA7">
      <w:pPr>
        <w:pStyle w:val="BodyText"/>
      </w:pPr>
    </w:p>
    <w:p w14:paraId="2EACED1E" w14:textId="77777777" w:rsidR="000C55EE" w:rsidRDefault="000C55EE" w:rsidP="00BA0CA7">
      <w:pPr>
        <w:pStyle w:val="BodyText"/>
      </w:pPr>
    </w:p>
    <w:p w14:paraId="3B11721D" w14:textId="77777777" w:rsidR="000C55EE" w:rsidRDefault="000C55EE" w:rsidP="00BA0CA7">
      <w:pPr>
        <w:pStyle w:val="BodyText"/>
      </w:pPr>
    </w:p>
    <w:p w14:paraId="275390B0" w14:textId="56CD8F8F" w:rsidR="000C55EE" w:rsidRDefault="000C55EE" w:rsidP="00BA0CA7">
      <w:pPr>
        <w:pStyle w:val="BodyText"/>
      </w:pPr>
    </w:p>
    <w:p w14:paraId="27095743" w14:textId="2C6577EA" w:rsidR="00E760B6" w:rsidRDefault="00E760B6" w:rsidP="00BA0CA7">
      <w:pPr>
        <w:pStyle w:val="BodyText"/>
      </w:pPr>
    </w:p>
    <w:p w14:paraId="4BB605ED" w14:textId="210E3E99" w:rsidR="00E760B6" w:rsidRDefault="00E760B6" w:rsidP="00BA0CA7">
      <w:pPr>
        <w:pStyle w:val="BodyText"/>
      </w:pPr>
    </w:p>
    <w:p w14:paraId="3A8443D5" w14:textId="77777777" w:rsidR="00E760B6" w:rsidRDefault="00E760B6" w:rsidP="00BA0CA7">
      <w:pPr>
        <w:pStyle w:val="BodyText"/>
      </w:pPr>
    </w:p>
    <w:p w14:paraId="4BE274B9" w14:textId="77777777" w:rsidR="000C55EE" w:rsidRDefault="000C55EE" w:rsidP="00BA0CA7">
      <w:pPr>
        <w:pStyle w:val="BodyText"/>
      </w:pPr>
    </w:p>
    <w:p w14:paraId="49A4AD4E" w14:textId="77777777" w:rsidR="000C55EE" w:rsidRDefault="000C55EE" w:rsidP="00BA0CA7">
      <w:pPr>
        <w:pStyle w:val="BodyText"/>
      </w:pPr>
    </w:p>
    <w:p w14:paraId="4D9969D8" w14:textId="77777777" w:rsidR="004D4CDB" w:rsidRPr="00EA6639" w:rsidRDefault="002B4441" w:rsidP="00140CAE">
      <w:pPr>
        <w:pStyle w:val="Heading2"/>
      </w:pPr>
      <w:bookmarkStart w:id="24" w:name="_Toc56419065"/>
      <w:r w:rsidRPr="00B23AD7">
        <w:t>4.4</w:t>
      </w:r>
      <w:r w:rsidRPr="00B23AD7">
        <w:tab/>
        <w:t>New Assets from Growth</w:t>
      </w:r>
      <w:bookmarkEnd w:id="24"/>
    </w:p>
    <w:p w14:paraId="117E5B83" w14:textId="77777777" w:rsidR="009E20FE" w:rsidRPr="00EA6639" w:rsidRDefault="00452900" w:rsidP="009E20FE">
      <w:pPr>
        <w:jc w:val="left"/>
        <w:rPr>
          <w:rFonts w:cs="Arial"/>
          <w:szCs w:val="24"/>
        </w:rPr>
      </w:pPr>
      <w:r w:rsidRPr="00EA6639">
        <w:rPr>
          <w:rFonts w:cs="Arial"/>
          <w:szCs w:val="24"/>
        </w:rPr>
        <w:t xml:space="preserve">The new assets required to meet growth will be constructed by the City of Cockburn and acquired from land developments. </w:t>
      </w:r>
      <w:r w:rsidR="00323A54" w:rsidRPr="00EA6639">
        <w:rPr>
          <w:rFonts w:cs="Arial"/>
          <w:szCs w:val="24"/>
        </w:rPr>
        <w:t xml:space="preserve"> The new footpath</w:t>
      </w:r>
      <w:r w:rsidR="0000474A" w:rsidRPr="00EA6639">
        <w:rPr>
          <w:rFonts w:cs="Arial"/>
          <w:szCs w:val="24"/>
        </w:rPr>
        <w:t xml:space="preserve"> projects</w:t>
      </w:r>
      <w:r w:rsidR="00B74FEF">
        <w:rPr>
          <w:rFonts w:cs="Arial"/>
          <w:szCs w:val="24"/>
        </w:rPr>
        <w:t xml:space="preserve"> t</w:t>
      </w:r>
      <w:r w:rsidR="0000474A" w:rsidRPr="00EA6639">
        <w:rPr>
          <w:rFonts w:cs="Arial"/>
          <w:szCs w:val="24"/>
        </w:rPr>
        <w:t xml:space="preserve">o be funded by </w:t>
      </w:r>
      <w:r w:rsidR="0080398F">
        <w:rPr>
          <w:rFonts w:cs="Arial"/>
          <w:szCs w:val="24"/>
        </w:rPr>
        <w:t>t</w:t>
      </w:r>
      <w:r w:rsidR="0000474A" w:rsidRPr="00EA6639">
        <w:rPr>
          <w:rFonts w:cs="Arial"/>
          <w:szCs w:val="24"/>
        </w:rPr>
        <w:t xml:space="preserve">he City are </w:t>
      </w:r>
      <w:r w:rsidR="005307EA">
        <w:rPr>
          <w:rFonts w:cs="Arial"/>
          <w:szCs w:val="24"/>
        </w:rPr>
        <w:t>based on</w:t>
      </w:r>
      <w:r w:rsidR="0000474A" w:rsidRPr="00EA6639">
        <w:rPr>
          <w:rFonts w:cs="Arial"/>
          <w:szCs w:val="24"/>
        </w:rPr>
        <w:t xml:space="preserve"> </w:t>
      </w:r>
      <w:r w:rsidR="00D9188B">
        <w:rPr>
          <w:rFonts w:cs="Arial"/>
          <w:szCs w:val="24"/>
        </w:rPr>
        <w:t xml:space="preserve">the </w:t>
      </w:r>
      <w:r w:rsidR="000435C7">
        <w:rPr>
          <w:rFonts w:cs="Arial"/>
          <w:szCs w:val="24"/>
        </w:rPr>
        <w:t>Cycling</w:t>
      </w:r>
      <w:r w:rsidR="00D9188B">
        <w:rPr>
          <w:rFonts w:cs="Arial"/>
          <w:szCs w:val="24"/>
        </w:rPr>
        <w:t xml:space="preserve"> and Walking N</w:t>
      </w:r>
      <w:r w:rsidR="005307EA">
        <w:rPr>
          <w:rFonts w:cs="Arial"/>
          <w:szCs w:val="24"/>
        </w:rPr>
        <w:t>etwork</w:t>
      </w:r>
      <w:r w:rsidR="00D9188B">
        <w:rPr>
          <w:rFonts w:cs="Arial"/>
          <w:szCs w:val="24"/>
        </w:rPr>
        <w:t xml:space="preserve"> P</w:t>
      </w:r>
      <w:r w:rsidR="00F15FDF">
        <w:rPr>
          <w:rFonts w:cs="Arial"/>
          <w:szCs w:val="24"/>
        </w:rPr>
        <w:t>lan</w:t>
      </w:r>
      <w:r w:rsidR="005307EA">
        <w:rPr>
          <w:rFonts w:cs="Arial"/>
          <w:szCs w:val="24"/>
        </w:rPr>
        <w:t xml:space="preserve"> 2016 - 2021</w:t>
      </w:r>
      <w:r w:rsidR="00492DEB" w:rsidRPr="00B23AD7">
        <w:rPr>
          <w:rFonts w:cs="Arial"/>
          <w:szCs w:val="24"/>
        </w:rPr>
        <w:t>.</w:t>
      </w:r>
      <w:r w:rsidR="005307EA">
        <w:rPr>
          <w:rFonts w:cs="Arial"/>
          <w:szCs w:val="24"/>
        </w:rPr>
        <w:t xml:space="preserve"> This plan needs to be reviewed as part of the improvement strategy.</w:t>
      </w:r>
    </w:p>
    <w:p w14:paraId="3789747A" w14:textId="77777777" w:rsidR="00D932B3" w:rsidRPr="000C55EE" w:rsidRDefault="00106C48" w:rsidP="000C55EE">
      <w:pPr>
        <w:spacing w:before="120"/>
        <w:rPr>
          <w:rFonts w:cs="Arial"/>
          <w:szCs w:val="24"/>
        </w:rPr>
      </w:pPr>
      <w:r w:rsidRPr="00106C48">
        <w:rPr>
          <w:rFonts w:cs="Arial"/>
          <w:szCs w:val="24"/>
        </w:rPr>
        <w:t xml:space="preserve">The forecast for donated assets likely to be received from developers over the next five years has been calculated by averaging out the previous </w:t>
      </w:r>
      <w:r>
        <w:rPr>
          <w:rFonts w:cs="Arial"/>
          <w:szCs w:val="24"/>
        </w:rPr>
        <w:t>5</w:t>
      </w:r>
      <w:r w:rsidRPr="00106C48">
        <w:rPr>
          <w:rFonts w:cs="Arial"/>
          <w:szCs w:val="24"/>
        </w:rPr>
        <w:t xml:space="preserve"> years total donated assets received through subdivisions. This equates to approx. </w:t>
      </w:r>
      <w:r w:rsidR="004F6F3F">
        <w:rPr>
          <w:rFonts w:cs="Arial"/>
          <w:szCs w:val="24"/>
        </w:rPr>
        <w:t>18,788</w:t>
      </w:r>
      <w:r w:rsidR="00764B07">
        <w:rPr>
          <w:rFonts w:cs="Arial"/>
          <w:szCs w:val="24"/>
        </w:rPr>
        <w:t xml:space="preserve"> </w:t>
      </w:r>
      <w:r>
        <w:rPr>
          <w:rFonts w:cs="Arial"/>
          <w:szCs w:val="24"/>
        </w:rPr>
        <w:t>m</w:t>
      </w:r>
      <w:r>
        <w:rPr>
          <w:rFonts w:cs="Arial"/>
          <w:szCs w:val="24"/>
          <w:vertAlign w:val="superscript"/>
        </w:rPr>
        <w:t>2</w:t>
      </w:r>
      <w:r w:rsidRPr="00106C48">
        <w:rPr>
          <w:rFonts w:cs="Arial"/>
          <w:szCs w:val="24"/>
        </w:rPr>
        <w:t xml:space="preserve"> per year in </w:t>
      </w:r>
      <w:r w:rsidR="00BA4089">
        <w:rPr>
          <w:rFonts w:cs="Arial"/>
          <w:szCs w:val="24"/>
        </w:rPr>
        <w:t>h</w:t>
      </w:r>
      <w:r w:rsidR="00735A41">
        <w:rPr>
          <w:rFonts w:cs="Arial"/>
          <w:szCs w:val="24"/>
        </w:rPr>
        <w:t>ard infrastructure</w:t>
      </w:r>
      <w:r w:rsidR="00E96724">
        <w:rPr>
          <w:rFonts w:cs="Arial"/>
          <w:szCs w:val="24"/>
        </w:rPr>
        <w:t xml:space="preserve"> </w:t>
      </w:r>
      <w:r w:rsidR="00735A41">
        <w:rPr>
          <w:rFonts w:cs="Arial"/>
          <w:szCs w:val="24"/>
        </w:rPr>
        <w:t>approximating to</w:t>
      </w:r>
      <w:r>
        <w:rPr>
          <w:rFonts w:cs="Arial"/>
          <w:szCs w:val="24"/>
        </w:rPr>
        <w:t xml:space="preserve"> </w:t>
      </w:r>
      <w:r w:rsidRPr="00106C48">
        <w:rPr>
          <w:rFonts w:cs="Arial"/>
          <w:szCs w:val="24"/>
        </w:rPr>
        <w:t>$1</w:t>
      </w:r>
      <w:r w:rsidR="00BA4089">
        <w:rPr>
          <w:rFonts w:cs="Arial"/>
          <w:szCs w:val="24"/>
        </w:rPr>
        <w:t>,</w:t>
      </w:r>
      <w:r w:rsidR="004C70A4">
        <w:rPr>
          <w:rFonts w:cs="Arial"/>
          <w:szCs w:val="24"/>
        </w:rPr>
        <w:t>216</w:t>
      </w:r>
      <w:r w:rsidR="00BA4089">
        <w:rPr>
          <w:rFonts w:cs="Arial"/>
          <w:szCs w:val="24"/>
        </w:rPr>
        <w:t>,</w:t>
      </w:r>
      <w:r w:rsidR="004C70A4">
        <w:rPr>
          <w:rFonts w:cs="Arial"/>
          <w:szCs w:val="24"/>
        </w:rPr>
        <w:t>000</w:t>
      </w:r>
      <w:r w:rsidR="00735A41">
        <w:rPr>
          <w:rFonts w:cs="Arial"/>
          <w:szCs w:val="24"/>
        </w:rPr>
        <w:t>.</w:t>
      </w:r>
    </w:p>
    <w:p w14:paraId="2F463587" w14:textId="77777777" w:rsidR="004F2DC4" w:rsidRPr="00140CAE" w:rsidRDefault="004F2DC4" w:rsidP="00C306EE">
      <w:pPr>
        <w:keepNext/>
        <w:rPr>
          <w:b/>
          <w:iCs/>
          <w:color w:val="0070C0"/>
          <w:szCs w:val="22"/>
        </w:rPr>
      </w:pPr>
      <w:r w:rsidRPr="00140CAE">
        <w:rPr>
          <w:b/>
          <w:iCs/>
          <w:color w:val="0070C0"/>
          <w:szCs w:val="22"/>
        </w:rPr>
        <w:lastRenderedPageBreak/>
        <w:t>Graph 4.4</w:t>
      </w:r>
      <w:r w:rsidRPr="00140CAE">
        <w:rPr>
          <w:b/>
          <w:iCs/>
          <w:color w:val="0070C0"/>
          <w:szCs w:val="22"/>
        </w:rPr>
        <w:tab/>
        <w:t>New Assets from Growth</w:t>
      </w:r>
    </w:p>
    <w:p w14:paraId="33804147" w14:textId="77777777" w:rsidR="00877A77" w:rsidRPr="00877A77" w:rsidRDefault="00877A77" w:rsidP="00877A77">
      <w:pPr>
        <w:pStyle w:val="BodyText"/>
      </w:pPr>
      <w:r>
        <w:rPr>
          <w:noProof/>
          <w:lang w:eastAsia="en-AU"/>
        </w:rPr>
        <w:drawing>
          <wp:inline distT="0" distB="0" distL="0" distR="0" wp14:anchorId="4FD30639" wp14:editId="6DA299A9">
            <wp:extent cx="5732145" cy="4243992"/>
            <wp:effectExtent l="0" t="0" r="20955" b="234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51456" w14:textId="77777777" w:rsidR="00330F4F" w:rsidRPr="00EA6639" w:rsidRDefault="001F214D" w:rsidP="00330F4F">
      <w:pPr>
        <w:pStyle w:val="BodyText"/>
        <w:rPr>
          <w:rFonts w:cs="Arial"/>
          <w:szCs w:val="24"/>
        </w:rPr>
      </w:pPr>
      <w:r w:rsidRPr="00EA6639">
        <w:rPr>
          <w:rFonts w:cs="Arial"/>
          <w:szCs w:val="24"/>
        </w:rPr>
        <w:t>These figures hav</w:t>
      </w:r>
      <w:r w:rsidR="008E7CBD" w:rsidRPr="00EA6639">
        <w:rPr>
          <w:rFonts w:cs="Arial"/>
          <w:szCs w:val="24"/>
        </w:rPr>
        <w:t>e been used throughout this AMP where growth has been considered.</w:t>
      </w:r>
    </w:p>
    <w:p w14:paraId="0CFA1564" w14:textId="12DA1C66" w:rsidR="00363480" w:rsidRPr="00140CAE" w:rsidRDefault="007A702D" w:rsidP="00780183">
      <w:pPr>
        <w:pStyle w:val="Heading1"/>
        <w:rPr>
          <w:iCs/>
        </w:rPr>
      </w:pPr>
      <w:r w:rsidRPr="00EA6639">
        <w:br w:type="page"/>
      </w:r>
      <w:bookmarkStart w:id="25" w:name="_Toc56419066"/>
      <w:r w:rsidR="005708F5" w:rsidRPr="00140CAE">
        <w:rPr>
          <w:iCs/>
          <w:color w:val="0070C0"/>
        </w:rPr>
        <w:lastRenderedPageBreak/>
        <w:t>5</w:t>
      </w:r>
      <w:r w:rsidR="00363480" w:rsidRPr="00140CAE">
        <w:rPr>
          <w:iCs/>
          <w:color w:val="0070C0"/>
        </w:rPr>
        <w:t>.</w:t>
      </w:r>
      <w:r w:rsidR="00363480" w:rsidRPr="00140CAE">
        <w:rPr>
          <w:iCs/>
          <w:color w:val="0070C0"/>
        </w:rPr>
        <w:tab/>
      </w:r>
      <w:r w:rsidR="006F08FA" w:rsidRPr="00140CAE">
        <w:rPr>
          <w:iCs/>
          <w:color w:val="0070C0"/>
        </w:rPr>
        <w:t>Lifecycle Management</w:t>
      </w:r>
      <w:bookmarkEnd w:id="25"/>
      <w:r w:rsidR="006F08FA" w:rsidRPr="00140CAE">
        <w:rPr>
          <w:iCs/>
          <w:color w:val="0070C0"/>
        </w:rPr>
        <w:t xml:space="preserve"> </w:t>
      </w:r>
    </w:p>
    <w:p w14:paraId="71135140" w14:textId="77777777" w:rsidR="00363480" w:rsidRDefault="00051B36" w:rsidP="0070522F">
      <w:pPr>
        <w:pStyle w:val="BodyText"/>
        <w:spacing w:after="120"/>
        <w:rPr>
          <w:rFonts w:cs="Arial"/>
          <w:szCs w:val="24"/>
        </w:rPr>
      </w:pPr>
      <w:r w:rsidRPr="00DE57C5">
        <w:rPr>
          <w:rFonts w:cs="Arial"/>
          <w:szCs w:val="24"/>
        </w:rPr>
        <w:t xml:space="preserve">The lifecycle management </w:t>
      </w:r>
      <w:r w:rsidR="006E256A">
        <w:rPr>
          <w:rFonts w:cs="Arial"/>
          <w:szCs w:val="24"/>
        </w:rPr>
        <w:t>area</w:t>
      </w:r>
      <w:r w:rsidRPr="00DE57C5">
        <w:rPr>
          <w:rFonts w:cs="Arial"/>
          <w:szCs w:val="24"/>
        </w:rPr>
        <w:t xml:space="preserve"> details how </w:t>
      </w:r>
      <w:r w:rsidR="006E256A">
        <w:rPr>
          <w:rFonts w:cs="Arial"/>
          <w:szCs w:val="24"/>
        </w:rPr>
        <w:t>t</w:t>
      </w:r>
      <w:r w:rsidR="0010014F" w:rsidRPr="00DE57C5">
        <w:rPr>
          <w:rFonts w:cs="Arial"/>
          <w:szCs w:val="24"/>
        </w:rPr>
        <w:t>he City of Cockburn</w:t>
      </w:r>
      <w:r w:rsidRPr="00DE57C5">
        <w:rPr>
          <w:rFonts w:cs="Arial"/>
          <w:szCs w:val="24"/>
        </w:rPr>
        <w:t xml:space="preserve"> plans to manage and operate the </w:t>
      </w:r>
      <w:r w:rsidR="001C7896" w:rsidRPr="00DE57C5">
        <w:rPr>
          <w:rFonts w:cs="Arial"/>
          <w:szCs w:val="24"/>
        </w:rPr>
        <w:t>footpath</w:t>
      </w:r>
      <w:r w:rsidR="00A13785" w:rsidRPr="00DE57C5">
        <w:rPr>
          <w:rFonts w:cs="Arial"/>
          <w:szCs w:val="24"/>
        </w:rPr>
        <w:t xml:space="preserve"> infrastructure </w:t>
      </w:r>
      <w:r w:rsidRPr="00DE57C5">
        <w:rPr>
          <w:rFonts w:cs="Arial"/>
          <w:szCs w:val="24"/>
        </w:rPr>
        <w:t>assets while optimising life cycle costs.</w:t>
      </w:r>
      <w:r w:rsidR="00D66BA5" w:rsidRPr="00DE57C5">
        <w:rPr>
          <w:rFonts w:cs="Arial"/>
          <w:szCs w:val="24"/>
        </w:rPr>
        <w:t xml:space="preserve"> The data is based on the </w:t>
      </w:r>
      <w:r w:rsidR="00B33418">
        <w:rPr>
          <w:rFonts w:cs="Arial"/>
          <w:szCs w:val="24"/>
        </w:rPr>
        <w:t xml:space="preserve">City’s financial and </w:t>
      </w:r>
      <w:r w:rsidR="001C7896" w:rsidRPr="00DE57C5">
        <w:rPr>
          <w:rFonts w:cs="Arial"/>
          <w:szCs w:val="24"/>
        </w:rPr>
        <w:t xml:space="preserve">operational </w:t>
      </w:r>
      <w:r w:rsidR="00D66BA5" w:rsidRPr="00DE57C5">
        <w:rPr>
          <w:rFonts w:cs="Arial"/>
          <w:szCs w:val="24"/>
        </w:rPr>
        <w:t>asset register</w:t>
      </w:r>
      <w:r w:rsidR="00B33418">
        <w:rPr>
          <w:rFonts w:cs="Arial"/>
          <w:szCs w:val="24"/>
        </w:rPr>
        <w:t>s.</w:t>
      </w:r>
    </w:p>
    <w:p w14:paraId="0D20FFBC" w14:textId="77777777" w:rsidR="007F2910" w:rsidRPr="003F0B9B" w:rsidRDefault="007F2910" w:rsidP="00140CAE">
      <w:pPr>
        <w:pStyle w:val="Heading2"/>
      </w:pPr>
      <w:bookmarkStart w:id="26" w:name="_Toc532820123"/>
      <w:bookmarkStart w:id="27" w:name="_Toc56419067"/>
      <w:r w:rsidRPr="003F0B9B">
        <w:t>5.1</w:t>
      </w:r>
      <w:r w:rsidRPr="003F0B9B">
        <w:tab/>
      </w:r>
      <w:r>
        <w:t>Asset</w:t>
      </w:r>
      <w:r w:rsidRPr="003F0B9B">
        <w:t xml:space="preserve"> Data</w:t>
      </w:r>
      <w:bookmarkEnd w:id="26"/>
      <w:bookmarkEnd w:id="27"/>
    </w:p>
    <w:p w14:paraId="45FF8FF6" w14:textId="17697A4E" w:rsidR="00130D1B" w:rsidRDefault="00AC1EF3" w:rsidP="00130D1B">
      <w:pPr>
        <w:pStyle w:val="BodyText"/>
        <w:tabs>
          <w:tab w:val="left" w:pos="5245"/>
        </w:tabs>
        <w:spacing w:after="60"/>
        <w:jc w:val="left"/>
        <w:rPr>
          <w:rFonts w:cs="Arial"/>
          <w:szCs w:val="24"/>
        </w:rPr>
      </w:pPr>
      <w:r w:rsidRPr="00866A55">
        <w:rPr>
          <w:rFonts w:cs="Arial"/>
          <w:szCs w:val="24"/>
        </w:rPr>
        <w:t xml:space="preserve">Approximately </w:t>
      </w:r>
      <w:r w:rsidR="00D3013E">
        <w:rPr>
          <w:rFonts w:cs="Arial"/>
          <w:szCs w:val="24"/>
        </w:rPr>
        <w:t>110</w:t>
      </w:r>
      <w:r w:rsidR="0074562E">
        <w:rPr>
          <w:rFonts w:cs="Arial"/>
          <w:szCs w:val="24"/>
        </w:rPr>
        <w:t xml:space="preserve"> </w:t>
      </w:r>
      <w:r w:rsidR="003741D6">
        <w:rPr>
          <w:rFonts w:cs="Arial"/>
          <w:szCs w:val="24"/>
        </w:rPr>
        <w:t>km</w:t>
      </w:r>
      <w:r w:rsidRPr="00866A55">
        <w:rPr>
          <w:rFonts w:cs="Arial"/>
          <w:szCs w:val="24"/>
        </w:rPr>
        <w:t xml:space="preserve"> of</w:t>
      </w:r>
      <w:r w:rsidR="008E7CBD" w:rsidRPr="00866A55">
        <w:rPr>
          <w:rFonts w:cs="Arial"/>
          <w:szCs w:val="24"/>
        </w:rPr>
        <w:t xml:space="preserve"> footpaths fall within a public open space </w:t>
      </w:r>
      <w:r w:rsidRPr="00866A55">
        <w:rPr>
          <w:rFonts w:cs="Arial"/>
          <w:szCs w:val="24"/>
        </w:rPr>
        <w:t xml:space="preserve">and </w:t>
      </w:r>
      <w:r w:rsidR="008E7CBD" w:rsidRPr="00866A55">
        <w:rPr>
          <w:rFonts w:cs="Arial"/>
          <w:szCs w:val="24"/>
        </w:rPr>
        <w:t xml:space="preserve">are managed by </w:t>
      </w:r>
      <w:r w:rsidR="008E7CBD" w:rsidRPr="00EA6639">
        <w:rPr>
          <w:rFonts w:cs="Arial"/>
          <w:szCs w:val="24"/>
        </w:rPr>
        <w:t>the Parks and Environment service unit</w:t>
      </w:r>
      <w:r>
        <w:rPr>
          <w:rFonts w:cs="Arial"/>
          <w:szCs w:val="24"/>
        </w:rPr>
        <w:t>,</w:t>
      </w:r>
      <w:r w:rsidR="008E7CBD" w:rsidRPr="00EA6639">
        <w:rPr>
          <w:rFonts w:cs="Arial"/>
          <w:szCs w:val="24"/>
        </w:rPr>
        <w:t xml:space="preserve"> </w:t>
      </w:r>
      <w:r>
        <w:rPr>
          <w:rFonts w:cs="Arial"/>
          <w:szCs w:val="24"/>
        </w:rPr>
        <w:t xml:space="preserve">these </w:t>
      </w:r>
      <w:r w:rsidR="008E7CBD" w:rsidRPr="00EA6639">
        <w:rPr>
          <w:rFonts w:cs="Arial"/>
          <w:szCs w:val="24"/>
        </w:rPr>
        <w:t>have been considered separately throughout the AMP.</w:t>
      </w:r>
      <w:r>
        <w:rPr>
          <w:rFonts w:cs="Arial"/>
          <w:szCs w:val="24"/>
        </w:rPr>
        <w:t xml:space="preserve"> This does not include the trails managed by Environment services. </w:t>
      </w:r>
    </w:p>
    <w:p w14:paraId="7C9C2DD5" w14:textId="77777777" w:rsidR="00B352B6" w:rsidRPr="00EA6639" w:rsidRDefault="00B352B6" w:rsidP="00130D1B">
      <w:pPr>
        <w:pStyle w:val="BodyText"/>
        <w:tabs>
          <w:tab w:val="left" w:pos="5245"/>
        </w:tabs>
        <w:spacing w:after="60"/>
        <w:jc w:val="left"/>
        <w:rPr>
          <w:rFonts w:cs="Arial"/>
          <w:szCs w:val="24"/>
        </w:rPr>
      </w:pPr>
    </w:p>
    <w:p w14:paraId="7842A0D6" w14:textId="77777777" w:rsidR="001F442F" w:rsidRPr="00140CAE" w:rsidRDefault="00BF2B41" w:rsidP="00616E47">
      <w:pPr>
        <w:keepNext/>
        <w:rPr>
          <w:b/>
          <w:iCs/>
          <w:color w:val="0070C0"/>
          <w:szCs w:val="22"/>
        </w:rPr>
      </w:pPr>
      <w:r w:rsidRPr="00140CAE">
        <w:rPr>
          <w:b/>
          <w:iCs/>
          <w:color w:val="0070C0"/>
          <w:szCs w:val="22"/>
        </w:rPr>
        <w:t xml:space="preserve">Table 5.1 </w:t>
      </w:r>
      <w:r w:rsidR="004D49CF" w:rsidRPr="00140CAE">
        <w:rPr>
          <w:b/>
          <w:iCs/>
          <w:color w:val="0070C0"/>
          <w:szCs w:val="22"/>
        </w:rPr>
        <w:t>Breakdown of Footpath Assets</w:t>
      </w:r>
    </w:p>
    <w:tbl>
      <w:tblPr>
        <w:tblW w:w="5000" w:type="pct"/>
        <w:tblLook w:val="04A0" w:firstRow="1" w:lastRow="0" w:firstColumn="1" w:lastColumn="0" w:noHBand="0" w:noVBand="1"/>
      </w:tblPr>
      <w:tblGrid>
        <w:gridCol w:w="2298"/>
        <w:gridCol w:w="2701"/>
        <w:gridCol w:w="2122"/>
        <w:gridCol w:w="2122"/>
      </w:tblGrid>
      <w:tr w:rsidR="007677CF" w:rsidRPr="007677CF" w14:paraId="7676190A" w14:textId="77777777" w:rsidTr="00C64B46">
        <w:trPr>
          <w:trHeight w:val="600"/>
        </w:trPr>
        <w:tc>
          <w:tcPr>
            <w:tcW w:w="1243" w:type="pct"/>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2F213518" w14:textId="77777777" w:rsidR="007677CF" w:rsidRPr="007677CF" w:rsidRDefault="007677CF" w:rsidP="007677CF">
            <w:pPr>
              <w:spacing w:after="0"/>
              <w:jc w:val="center"/>
              <w:rPr>
                <w:rFonts w:ascii="Arial Narrow" w:hAnsi="Arial Narrow"/>
                <w:b/>
                <w:bCs/>
                <w:color w:val="FFFFFF"/>
                <w:szCs w:val="24"/>
                <w:lang w:eastAsia="en-AU"/>
              </w:rPr>
            </w:pPr>
            <w:r w:rsidRPr="007677CF">
              <w:rPr>
                <w:rFonts w:ascii="Arial Narrow" w:hAnsi="Arial Narrow"/>
                <w:b/>
                <w:bCs/>
                <w:color w:val="FFFFFF"/>
                <w:szCs w:val="24"/>
                <w:lang w:eastAsia="en-AU"/>
              </w:rPr>
              <w:t>Jurisdiction</w:t>
            </w:r>
          </w:p>
        </w:tc>
        <w:tc>
          <w:tcPr>
            <w:tcW w:w="1461" w:type="pct"/>
            <w:tcBorders>
              <w:top w:val="single" w:sz="8" w:space="0" w:color="auto"/>
              <w:left w:val="nil"/>
              <w:bottom w:val="thinThickSmallGap" w:sz="24" w:space="0" w:color="auto"/>
              <w:right w:val="single" w:sz="8" w:space="0" w:color="FFFFFF"/>
            </w:tcBorders>
            <w:shd w:val="clear" w:color="000000" w:fill="4BACC6"/>
            <w:vAlign w:val="center"/>
            <w:hideMark/>
          </w:tcPr>
          <w:p w14:paraId="27FE9D3B" w14:textId="77777777" w:rsidR="007677CF" w:rsidRPr="007677CF" w:rsidRDefault="007677CF" w:rsidP="007677CF">
            <w:pPr>
              <w:spacing w:after="0"/>
              <w:jc w:val="center"/>
              <w:rPr>
                <w:rFonts w:ascii="Arial Narrow" w:hAnsi="Arial Narrow"/>
                <w:b/>
                <w:bCs/>
                <w:color w:val="FFFFFF"/>
                <w:szCs w:val="24"/>
                <w:lang w:eastAsia="en-AU"/>
              </w:rPr>
            </w:pPr>
            <w:r w:rsidRPr="007677CF">
              <w:rPr>
                <w:rFonts w:ascii="Arial Narrow" w:hAnsi="Arial Narrow"/>
                <w:b/>
                <w:bCs/>
                <w:color w:val="FFFFFF"/>
                <w:szCs w:val="24"/>
                <w:lang w:eastAsia="en-AU"/>
              </w:rPr>
              <w:t>Width</w:t>
            </w:r>
          </w:p>
        </w:tc>
        <w:tc>
          <w:tcPr>
            <w:tcW w:w="1148" w:type="pct"/>
            <w:tcBorders>
              <w:top w:val="single" w:sz="8" w:space="0" w:color="auto"/>
              <w:left w:val="nil"/>
              <w:bottom w:val="thinThickSmallGap" w:sz="24" w:space="0" w:color="auto"/>
              <w:right w:val="single" w:sz="8" w:space="0" w:color="FFFFFF"/>
            </w:tcBorders>
            <w:shd w:val="clear" w:color="000000" w:fill="4BACC6"/>
            <w:vAlign w:val="center"/>
            <w:hideMark/>
          </w:tcPr>
          <w:p w14:paraId="6DE2AD28" w14:textId="77777777" w:rsidR="007677CF" w:rsidRPr="007677CF" w:rsidRDefault="007677CF" w:rsidP="007677CF">
            <w:pPr>
              <w:spacing w:after="0"/>
              <w:jc w:val="center"/>
              <w:rPr>
                <w:rFonts w:ascii="Arial Narrow" w:hAnsi="Arial Narrow"/>
                <w:b/>
                <w:bCs/>
                <w:color w:val="FFFFFF"/>
                <w:szCs w:val="24"/>
                <w:lang w:eastAsia="en-AU"/>
              </w:rPr>
            </w:pPr>
            <w:r w:rsidRPr="007677CF">
              <w:rPr>
                <w:rFonts w:ascii="Arial Narrow" w:hAnsi="Arial Narrow"/>
                <w:b/>
                <w:bCs/>
                <w:color w:val="FFFFFF"/>
                <w:szCs w:val="24"/>
                <w:lang w:eastAsia="en-AU"/>
              </w:rPr>
              <w:t>Length (km)</w:t>
            </w:r>
          </w:p>
        </w:tc>
        <w:tc>
          <w:tcPr>
            <w:tcW w:w="1148" w:type="pct"/>
            <w:tcBorders>
              <w:top w:val="single" w:sz="8" w:space="0" w:color="auto"/>
              <w:left w:val="nil"/>
              <w:bottom w:val="thinThickSmallGap" w:sz="24" w:space="0" w:color="auto"/>
              <w:right w:val="single" w:sz="8" w:space="0" w:color="auto"/>
            </w:tcBorders>
            <w:shd w:val="clear" w:color="000000" w:fill="4BACC6"/>
            <w:vAlign w:val="center"/>
            <w:hideMark/>
          </w:tcPr>
          <w:p w14:paraId="2C19D7BC" w14:textId="77777777" w:rsidR="007677CF" w:rsidRPr="007677CF" w:rsidRDefault="007677CF" w:rsidP="007677CF">
            <w:pPr>
              <w:spacing w:after="0"/>
              <w:jc w:val="center"/>
              <w:rPr>
                <w:rFonts w:ascii="Arial Narrow" w:hAnsi="Arial Narrow"/>
                <w:b/>
                <w:bCs/>
                <w:color w:val="FFFFFF"/>
                <w:szCs w:val="24"/>
                <w:lang w:eastAsia="en-AU"/>
              </w:rPr>
            </w:pPr>
            <w:r w:rsidRPr="007677CF">
              <w:rPr>
                <w:rFonts w:ascii="Arial Narrow" w:hAnsi="Arial Narrow"/>
                <w:b/>
                <w:bCs/>
                <w:color w:val="FFFFFF"/>
                <w:szCs w:val="24"/>
                <w:lang w:eastAsia="en-AU"/>
              </w:rPr>
              <w:t>Area (m2)</w:t>
            </w:r>
          </w:p>
        </w:tc>
      </w:tr>
      <w:tr w:rsidR="007677CF" w:rsidRPr="007677CF" w14:paraId="2D527CA9" w14:textId="77777777" w:rsidTr="00C64B46">
        <w:trPr>
          <w:trHeight w:val="600"/>
        </w:trPr>
        <w:tc>
          <w:tcPr>
            <w:tcW w:w="1243" w:type="pct"/>
            <w:vMerge w:val="restart"/>
            <w:tcBorders>
              <w:top w:val="thinThickSmallGap" w:sz="24" w:space="0" w:color="auto"/>
              <w:left w:val="single" w:sz="8" w:space="0" w:color="auto"/>
              <w:bottom w:val="single" w:sz="12" w:space="0" w:color="FFFFFF"/>
              <w:right w:val="thinThickSmallGap" w:sz="24" w:space="0" w:color="auto"/>
            </w:tcBorders>
            <w:shd w:val="clear" w:color="000000" w:fill="B7DEE8"/>
            <w:vAlign w:val="center"/>
            <w:hideMark/>
          </w:tcPr>
          <w:p w14:paraId="2BAB9B5B" w14:textId="77777777" w:rsidR="007677CF" w:rsidRPr="007677CF" w:rsidRDefault="007677CF" w:rsidP="007677CF">
            <w:pPr>
              <w:spacing w:after="0"/>
              <w:jc w:val="center"/>
              <w:rPr>
                <w:rFonts w:ascii="Arial Narrow" w:hAnsi="Arial Narrow"/>
                <w:szCs w:val="24"/>
                <w:lang w:eastAsia="en-AU"/>
              </w:rPr>
            </w:pPr>
            <w:r w:rsidRPr="007677CF">
              <w:rPr>
                <w:rFonts w:ascii="Arial Narrow" w:hAnsi="Arial Narrow"/>
                <w:szCs w:val="24"/>
                <w:lang w:eastAsia="en-AU"/>
              </w:rPr>
              <w:t>Parks</w:t>
            </w:r>
          </w:p>
        </w:tc>
        <w:tc>
          <w:tcPr>
            <w:tcW w:w="1461" w:type="pct"/>
            <w:tcBorders>
              <w:top w:val="thinThickSmallGap" w:sz="24" w:space="0" w:color="auto"/>
              <w:left w:val="thinThickSmallGap" w:sz="24" w:space="0" w:color="auto"/>
              <w:bottom w:val="nil"/>
              <w:right w:val="single" w:sz="8" w:space="0" w:color="FFFFFF"/>
            </w:tcBorders>
            <w:shd w:val="clear" w:color="000000" w:fill="B7DEE8"/>
            <w:vAlign w:val="center"/>
            <w:hideMark/>
          </w:tcPr>
          <w:p w14:paraId="7173BC4F"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&lt; 1.5m width</w:t>
            </w:r>
          </w:p>
        </w:tc>
        <w:tc>
          <w:tcPr>
            <w:tcW w:w="1148" w:type="pct"/>
            <w:tcBorders>
              <w:top w:val="thinThickSmallGap" w:sz="24" w:space="0" w:color="auto"/>
              <w:left w:val="nil"/>
              <w:bottom w:val="single" w:sz="8" w:space="0" w:color="FFFFFF"/>
              <w:right w:val="single" w:sz="8" w:space="0" w:color="FFFFFF"/>
            </w:tcBorders>
            <w:shd w:val="clear" w:color="000000" w:fill="B7DEE8"/>
            <w:vAlign w:val="center"/>
            <w:hideMark/>
          </w:tcPr>
          <w:p w14:paraId="000C2321"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5.44</w:t>
            </w:r>
          </w:p>
        </w:tc>
        <w:tc>
          <w:tcPr>
            <w:tcW w:w="1148" w:type="pct"/>
            <w:tcBorders>
              <w:top w:val="thinThickSmallGap" w:sz="24" w:space="0" w:color="auto"/>
              <w:left w:val="nil"/>
              <w:bottom w:val="single" w:sz="8" w:space="0" w:color="FFFFFF"/>
              <w:right w:val="single" w:sz="8" w:space="0" w:color="auto"/>
            </w:tcBorders>
            <w:shd w:val="clear" w:color="000000" w:fill="B7DEE8"/>
            <w:vAlign w:val="center"/>
            <w:hideMark/>
          </w:tcPr>
          <w:p w14:paraId="6CAC6959"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6,57</w:t>
            </w:r>
            <w:r w:rsidR="006A4455">
              <w:rPr>
                <w:rFonts w:ascii="Arial Narrow" w:hAnsi="Arial Narrow"/>
                <w:color w:val="000000"/>
                <w:szCs w:val="24"/>
                <w:lang w:eastAsia="en-AU"/>
              </w:rPr>
              <w:t>0</w:t>
            </w:r>
          </w:p>
        </w:tc>
      </w:tr>
      <w:tr w:rsidR="007677CF" w:rsidRPr="007677CF" w14:paraId="2727A655" w14:textId="77777777" w:rsidTr="00C64B46">
        <w:trPr>
          <w:trHeight w:val="600"/>
        </w:trPr>
        <w:tc>
          <w:tcPr>
            <w:tcW w:w="1243" w:type="pct"/>
            <w:vMerge/>
            <w:tcBorders>
              <w:top w:val="nil"/>
              <w:left w:val="single" w:sz="8" w:space="0" w:color="auto"/>
              <w:bottom w:val="single" w:sz="12" w:space="0" w:color="FFFFFF"/>
              <w:right w:val="thinThickSmallGap" w:sz="24" w:space="0" w:color="auto"/>
            </w:tcBorders>
            <w:vAlign w:val="center"/>
            <w:hideMark/>
          </w:tcPr>
          <w:p w14:paraId="5085344A" w14:textId="77777777" w:rsidR="007677CF" w:rsidRPr="007677CF" w:rsidRDefault="007677CF" w:rsidP="007677CF">
            <w:pPr>
              <w:spacing w:after="0"/>
              <w:jc w:val="left"/>
              <w:rPr>
                <w:rFonts w:ascii="Arial Narrow" w:hAnsi="Arial Narrow"/>
                <w:szCs w:val="24"/>
                <w:lang w:eastAsia="en-AU"/>
              </w:rPr>
            </w:pPr>
          </w:p>
        </w:tc>
        <w:tc>
          <w:tcPr>
            <w:tcW w:w="1461" w:type="pct"/>
            <w:tcBorders>
              <w:top w:val="single" w:sz="8" w:space="0" w:color="FFFFFF"/>
              <w:left w:val="thinThickSmallGap" w:sz="24" w:space="0" w:color="auto"/>
              <w:bottom w:val="nil"/>
              <w:right w:val="single" w:sz="8" w:space="0" w:color="FFFFFF"/>
            </w:tcBorders>
            <w:shd w:val="clear" w:color="000000" w:fill="DAEEF3"/>
            <w:vAlign w:val="center"/>
            <w:hideMark/>
          </w:tcPr>
          <w:p w14:paraId="2133CD02"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1.5m to 2.0m width</w:t>
            </w:r>
          </w:p>
        </w:tc>
        <w:tc>
          <w:tcPr>
            <w:tcW w:w="1148" w:type="pct"/>
            <w:tcBorders>
              <w:top w:val="nil"/>
              <w:left w:val="nil"/>
              <w:bottom w:val="single" w:sz="8" w:space="0" w:color="FFFFFF"/>
              <w:right w:val="single" w:sz="8" w:space="0" w:color="FFFFFF"/>
            </w:tcBorders>
            <w:shd w:val="clear" w:color="000000" w:fill="DAEEF3"/>
            <w:vAlign w:val="center"/>
            <w:hideMark/>
          </w:tcPr>
          <w:p w14:paraId="5B4C7C33"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38.59</w:t>
            </w:r>
          </w:p>
        </w:tc>
        <w:tc>
          <w:tcPr>
            <w:tcW w:w="1148" w:type="pct"/>
            <w:tcBorders>
              <w:top w:val="nil"/>
              <w:left w:val="nil"/>
              <w:bottom w:val="single" w:sz="8" w:space="0" w:color="FFFFFF"/>
              <w:right w:val="single" w:sz="8" w:space="0" w:color="auto"/>
            </w:tcBorders>
            <w:shd w:val="clear" w:color="000000" w:fill="DAEEF3"/>
            <w:vAlign w:val="center"/>
            <w:hideMark/>
          </w:tcPr>
          <w:p w14:paraId="20458C64"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72,211</w:t>
            </w:r>
          </w:p>
        </w:tc>
      </w:tr>
      <w:tr w:rsidR="007677CF" w:rsidRPr="007677CF" w14:paraId="19102FAC" w14:textId="77777777" w:rsidTr="00C64B46">
        <w:trPr>
          <w:trHeight w:val="600"/>
        </w:trPr>
        <w:tc>
          <w:tcPr>
            <w:tcW w:w="1243" w:type="pct"/>
            <w:vMerge/>
            <w:tcBorders>
              <w:top w:val="nil"/>
              <w:left w:val="single" w:sz="8" w:space="0" w:color="auto"/>
              <w:bottom w:val="single" w:sz="12" w:space="0" w:color="FFFFFF"/>
              <w:right w:val="thinThickSmallGap" w:sz="24" w:space="0" w:color="auto"/>
            </w:tcBorders>
            <w:vAlign w:val="center"/>
            <w:hideMark/>
          </w:tcPr>
          <w:p w14:paraId="3724C1BA" w14:textId="77777777" w:rsidR="007677CF" w:rsidRPr="007677CF" w:rsidRDefault="007677CF" w:rsidP="007677CF">
            <w:pPr>
              <w:spacing w:after="0"/>
              <w:jc w:val="left"/>
              <w:rPr>
                <w:rFonts w:ascii="Arial Narrow" w:hAnsi="Arial Narrow"/>
                <w:szCs w:val="24"/>
                <w:lang w:eastAsia="en-AU"/>
              </w:rPr>
            </w:pPr>
          </w:p>
        </w:tc>
        <w:tc>
          <w:tcPr>
            <w:tcW w:w="1461" w:type="pct"/>
            <w:tcBorders>
              <w:top w:val="single" w:sz="8" w:space="0" w:color="FFFFFF"/>
              <w:left w:val="thinThickSmallGap" w:sz="24" w:space="0" w:color="auto"/>
              <w:bottom w:val="single" w:sz="8" w:space="0" w:color="FFFFFF"/>
              <w:right w:val="single" w:sz="8" w:space="0" w:color="FFFFFF"/>
            </w:tcBorders>
            <w:shd w:val="clear" w:color="000000" w:fill="B7DEE8"/>
            <w:vAlign w:val="center"/>
            <w:hideMark/>
          </w:tcPr>
          <w:p w14:paraId="1828D4EA"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&gt; 2.0m width</w:t>
            </w:r>
          </w:p>
        </w:tc>
        <w:tc>
          <w:tcPr>
            <w:tcW w:w="1148" w:type="pct"/>
            <w:tcBorders>
              <w:top w:val="nil"/>
              <w:left w:val="nil"/>
              <w:bottom w:val="single" w:sz="8" w:space="0" w:color="FFFFFF"/>
              <w:right w:val="single" w:sz="8" w:space="0" w:color="FFFFFF"/>
            </w:tcBorders>
            <w:shd w:val="clear" w:color="000000" w:fill="B7DEE8"/>
            <w:vAlign w:val="center"/>
            <w:hideMark/>
          </w:tcPr>
          <w:p w14:paraId="717CCE66"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66.</w:t>
            </w:r>
            <w:r w:rsidR="006A4455">
              <w:rPr>
                <w:rFonts w:ascii="Arial Narrow" w:hAnsi="Arial Narrow"/>
                <w:color w:val="000000"/>
                <w:szCs w:val="24"/>
                <w:lang w:eastAsia="en-AU"/>
              </w:rPr>
              <w:t>9</w:t>
            </w:r>
            <w:r w:rsidRPr="007677CF">
              <w:rPr>
                <w:rFonts w:ascii="Arial Narrow" w:hAnsi="Arial Narrow"/>
                <w:color w:val="000000"/>
                <w:szCs w:val="24"/>
                <w:lang w:eastAsia="en-AU"/>
              </w:rPr>
              <w:t>7</w:t>
            </w:r>
          </w:p>
        </w:tc>
        <w:tc>
          <w:tcPr>
            <w:tcW w:w="1148" w:type="pct"/>
            <w:tcBorders>
              <w:top w:val="nil"/>
              <w:left w:val="nil"/>
              <w:bottom w:val="single" w:sz="8" w:space="0" w:color="FFFFFF"/>
              <w:right w:val="single" w:sz="8" w:space="0" w:color="auto"/>
            </w:tcBorders>
            <w:shd w:val="clear" w:color="000000" w:fill="B7DEE8"/>
            <w:vAlign w:val="center"/>
            <w:hideMark/>
          </w:tcPr>
          <w:p w14:paraId="5C072480"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163,</w:t>
            </w:r>
            <w:r w:rsidR="006A4455">
              <w:rPr>
                <w:rFonts w:ascii="Arial Narrow" w:hAnsi="Arial Narrow"/>
                <w:color w:val="000000"/>
                <w:szCs w:val="24"/>
                <w:lang w:eastAsia="en-AU"/>
              </w:rPr>
              <w:t>753</w:t>
            </w:r>
          </w:p>
        </w:tc>
      </w:tr>
      <w:tr w:rsidR="007677CF" w:rsidRPr="007677CF" w14:paraId="37478369" w14:textId="77777777" w:rsidTr="00C64B46">
        <w:trPr>
          <w:trHeight w:val="600"/>
        </w:trPr>
        <w:tc>
          <w:tcPr>
            <w:tcW w:w="1243" w:type="pct"/>
            <w:vMerge w:val="restart"/>
            <w:tcBorders>
              <w:top w:val="single" w:sz="12" w:space="0" w:color="FFFFFF"/>
              <w:left w:val="single" w:sz="8" w:space="0" w:color="auto"/>
              <w:bottom w:val="single" w:sz="12" w:space="0" w:color="FFFFFF"/>
              <w:right w:val="thinThickSmallGap" w:sz="24" w:space="0" w:color="auto"/>
            </w:tcBorders>
            <w:shd w:val="clear" w:color="000000" w:fill="DAEEF3"/>
            <w:vAlign w:val="center"/>
            <w:hideMark/>
          </w:tcPr>
          <w:p w14:paraId="1D01A5EA" w14:textId="77777777" w:rsidR="007677CF" w:rsidRPr="007677CF" w:rsidRDefault="007677CF" w:rsidP="007677CF">
            <w:pPr>
              <w:spacing w:after="0"/>
              <w:jc w:val="center"/>
              <w:rPr>
                <w:rFonts w:ascii="Arial Narrow" w:hAnsi="Arial Narrow"/>
                <w:szCs w:val="24"/>
                <w:lang w:eastAsia="en-AU"/>
              </w:rPr>
            </w:pPr>
            <w:r w:rsidRPr="007677CF">
              <w:rPr>
                <w:rFonts w:ascii="Arial Narrow" w:hAnsi="Arial Narrow"/>
                <w:szCs w:val="24"/>
                <w:lang w:eastAsia="en-AU"/>
              </w:rPr>
              <w:t>Roads</w:t>
            </w:r>
          </w:p>
        </w:tc>
        <w:tc>
          <w:tcPr>
            <w:tcW w:w="1461" w:type="pct"/>
            <w:tcBorders>
              <w:top w:val="nil"/>
              <w:left w:val="thinThickSmallGap" w:sz="24" w:space="0" w:color="auto"/>
              <w:bottom w:val="single" w:sz="8" w:space="0" w:color="FFFFFF" w:themeColor="background1"/>
              <w:right w:val="single" w:sz="8" w:space="0" w:color="FFFFFF"/>
            </w:tcBorders>
            <w:shd w:val="clear" w:color="000000" w:fill="DAEEF3"/>
            <w:vAlign w:val="center"/>
            <w:hideMark/>
          </w:tcPr>
          <w:p w14:paraId="6346BFF9"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&lt; 1.5m width</w:t>
            </w:r>
          </w:p>
        </w:tc>
        <w:tc>
          <w:tcPr>
            <w:tcW w:w="1148" w:type="pct"/>
            <w:tcBorders>
              <w:top w:val="nil"/>
              <w:left w:val="nil"/>
              <w:bottom w:val="single" w:sz="8" w:space="0" w:color="FFFFFF"/>
              <w:right w:val="single" w:sz="8" w:space="0" w:color="FFFFFF"/>
            </w:tcBorders>
            <w:shd w:val="clear" w:color="000000" w:fill="DAEEF3"/>
            <w:vAlign w:val="center"/>
            <w:hideMark/>
          </w:tcPr>
          <w:p w14:paraId="2C3F959D"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64.88</w:t>
            </w:r>
          </w:p>
        </w:tc>
        <w:tc>
          <w:tcPr>
            <w:tcW w:w="1148" w:type="pct"/>
            <w:tcBorders>
              <w:top w:val="nil"/>
              <w:left w:val="nil"/>
              <w:bottom w:val="single" w:sz="8" w:space="0" w:color="FFFFFF"/>
              <w:right w:val="single" w:sz="8" w:space="0" w:color="auto"/>
            </w:tcBorders>
            <w:shd w:val="clear" w:color="000000" w:fill="DAEEF3"/>
            <w:vAlign w:val="center"/>
            <w:hideMark/>
          </w:tcPr>
          <w:p w14:paraId="1E5B7FEE"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81,071</w:t>
            </w:r>
          </w:p>
        </w:tc>
      </w:tr>
      <w:tr w:rsidR="007677CF" w:rsidRPr="007677CF" w14:paraId="758D331A" w14:textId="77777777" w:rsidTr="00C64B46">
        <w:trPr>
          <w:trHeight w:val="600"/>
        </w:trPr>
        <w:tc>
          <w:tcPr>
            <w:tcW w:w="1243" w:type="pct"/>
            <w:vMerge/>
            <w:tcBorders>
              <w:top w:val="single" w:sz="12" w:space="0" w:color="FFFFFF"/>
              <w:left w:val="single" w:sz="8" w:space="0" w:color="auto"/>
              <w:bottom w:val="single" w:sz="12" w:space="0" w:color="FFFFFF"/>
              <w:right w:val="thinThickSmallGap" w:sz="24" w:space="0" w:color="auto"/>
            </w:tcBorders>
            <w:vAlign w:val="center"/>
            <w:hideMark/>
          </w:tcPr>
          <w:p w14:paraId="4D892497" w14:textId="77777777" w:rsidR="007677CF" w:rsidRPr="007677CF" w:rsidRDefault="007677CF" w:rsidP="007677CF">
            <w:pPr>
              <w:spacing w:after="0"/>
              <w:jc w:val="left"/>
              <w:rPr>
                <w:rFonts w:ascii="Arial Narrow" w:hAnsi="Arial Narrow"/>
                <w:szCs w:val="24"/>
                <w:lang w:eastAsia="en-AU"/>
              </w:rPr>
            </w:pPr>
          </w:p>
        </w:tc>
        <w:tc>
          <w:tcPr>
            <w:tcW w:w="1461" w:type="pct"/>
            <w:tcBorders>
              <w:top w:val="single" w:sz="8" w:space="0" w:color="FFFFFF" w:themeColor="background1"/>
              <w:left w:val="thinThickSmallGap" w:sz="24" w:space="0" w:color="auto"/>
              <w:bottom w:val="single" w:sz="8" w:space="0" w:color="FFFFFF"/>
              <w:right w:val="single" w:sz="8" w:space="0" w:color="FFFFFF"/>
            </w:tcBorders>
            <w:shd w:val="clear" w:color="000000" w:fill="B7DEE8"/>
            <w:vAlign w:val="center"/>
            <w:hideMark/>
          </w:tcPr>
          <w:p w14:paraId="214D9FB5"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1.5m to 2.0m width</w:t>
            </w:r>
          </w:p>
        </w:tc>
        <w:tc>
          <w:tcPr>
            <w:tcW w:w="1148" w:type="pct"/>
            <w:tcBorders>
              <w:top w:val="nil"/>
              <w:left w:val="nil"/>
              <w:bottom w:val="single" w:sz="8" w:space="0" w:color="FFFFFF"/>
              <w:right w:val="single" w:sz="8" w:space="0" w:color="FFFFFF"/>
            </w:tcBorders>
            <w:shd w:val="clear" w:color="000000" w:fill="B7DEE8"/>
            <w:vAlign w:val="center"/>
            <w:hideMark/>
          </w:tcPr>
          <w:p w14:paraId="39F496FB"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373.6</w:t>
            </w:r>
            <w:r w:rsidR="00F96B01">
              <w:rPr>
                <w:rFonts w:ascii="Arial Narrow" w:hAnsi="Arial Narrow"/>
                <w:color w:val="000000"/>
                <w:szCs w:val="24"/>
                <w:lang w:eastAsia="en-AU"/>
              </w:rPr>
              <w:t>4</w:t>
            </w:r>
          </w:p>
        </w:tc>
        <w:tc>
          <w:tcPr>
            <w:tcW w:w="1148" w:type="pct"/>
            <w:tcBorders>
              <w:top w:val="nil"/>
              <w:left w:val="nil"/>
              <w:bottom w:val="single" w:sz="8" w:space="0" w:color="FFFFFF"/>
              <w:right w:val="single" w:sz="8" w:space="0" w:color="auto"/>
            </w:tcBorders>
            <w:shd w:val="clear" w:color="000000" w:fill="B7DEE8"/>
            <w:vAlign w:val="center"/>
            <w:hideMark/>
          </w:tcPr>
          <w:p w14:paraId="7750E5CF"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647,</w:t>
            </w:r>
            <w:r w:rsidR="00F96B01">
              <w:rPr>
                <w:rFonts w:ascii="Arial Narrow" w:hAnsi="Arial Narrow"/>
                <w:color w:val="000000"/>
                <w:szCs w:val="24"/>
                <w:lang w:eastAsia="en-AU"/>
              </w:rPr>
              <w:t>469</w:t>
            </w:r>
          </w:p>
        </w:tc>
      </w:tr>
      <w:tr w:rsidR="007677CF" w:rsidRPr="007677CF" w14:paraId="1E669E20" w14:textId="77777777" w:rsidTr="00C64B46">
        <w:trPr>
          <w:trHeight w:val="600"/>
        </w:trPr>
        <w:tc>
          <w:tcPr>
            <w:tcW w:w="1243" w:type="pct"/>
            <w:vMerge/>
            <w:tcBorders>
              <w:top w:val="single" w:sz="12" w:space="0" w:color="FFFFFF"/>
              <w:left w:val="single" w:sz="8" w:space="0" w:color="auto"/>
              <w:bottom w:val="single" w:sz="8" w:space="0" w:color="auto"/>
              <w:right w:val="thinThickSmallGap" w:sz="24" w:space="0" w:color="auto"/>
            </w:tcBorders>
            <w:vAlign w:val="center"/>
            <w:hideMark/>
          </w:tcPr>
          <w:p w14:paraId="44EE64DB" w14:textId="77777777" w:rsidR="007677CF" w:rsidRPr="007677CF" w:rsidRDefault="007677CF" w:rsidP="007677CF">
            <w:pPr>
              <w:spacing w:after="0"/>
              <w:jc w:val="left"/>
              <w:rPr>
                <w:rFonts w:ascii="Arial Narrow" w:hAnsi="Arial Narrow"/>
                <w:szCs w:val="24"/>
                <w:lang w:eastAsia="en-AU"/>
              </w:rPr>
            </w:pPr>
          </w:p>
        </w:tc>
        <w:tc>
          <w:tcPr>
            <w:tcW w:w="1461" w:type="pct"/>
            <w:tcBorders>
              <w:top w:val="single" w:sz="8" w:space="0" w:color="FFFFFF"/>
              <w:left w:val="thinThickSmallGap" w:sz="24" w:space="0" w:color="auto"/>
              <w:bottom w:val="single" w:sz="8" w:space="0" w:color="auto"/>
              <w:right w:val="single" w:sz="8" w:space="0" w:color="FFFFFF"/>
            </w:tcBorders>
            <w:shd w:val="clear" w:color="000000" w:fill="DAEEF3"/>
            <w:vAlign w:val="center"/>
            <w:hideMark/>
          </w:tcPr>
          <w:p w14:paraId="089FFB81" w14:textId="77777777" w:rsidR="007677CF" w:rsidRPr="007677CF" w:rsidRDefault="007677CF" w:rsidP="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&gt; 2.0m width</w:t>
            </w:r>
          </w:p>
        </w:tc>
        <w:tc>
          <w:tcPr>
            <w:tcW w:w="1148" w:type="pct"/>
            <w:tcBorders>
              <w:top w:val="nil"/>
              <w:left w:val="nil"/>
              <w:bottom w:val="single" w:sz="8" w:space="0" w:color="auto"/>
              <w:right w:val="single" w:sz="8" w:space="0" w:color="FFFFFF"/>
            </w:tcBorders>
            <w:shd w:val="clear" w:color="000000" w:fill="DAEEF3"/>
            <w:vAlign w:val="center"/>
            <w:hideMark/>
          </w:tcPr>
          <w:p w14:paraId="7C804473"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18</w:t>
            </w:r>
            <w:r w:rsidR="00F96B01">
              <w:rPr>
                <w:rFonts w:ascii="Arial Narrow" w:hAnsi="Arial Narrow"/>
                <w:color w:val="000000"/>
                <w:szCs w:val="24"/>
                <w:lang w:eastAsia="en-AU"/>
              </w:rPr>
              <w:t>6</w:t>
            </w:r>
            <w:r w:rsidRPr="007677CF">
              <w:rPr>
                <w:rFonts w:ascii="Arial Narrow" w:hAnsi="Arial Narrow"/>
                <w:color w:val="000000"/>
                <w:szCs w:val="24"/>
                <w:lang w:eastAsia="en-AU"/>
              </w:rPr>
              <w:t>.</w:t>
            </w:r>
            <w:r w:rsidR="00F96B01">
              <w:rPr>
                <w:rFonts w:ascii="Arial Narrow" w:hAnsi="Arial Narrow"/>
                <w:color w:val="000000"/>
                <w:szCs w:val="24"/>
                <w:lang w:eastAsia="en-AU"/>
              </w:rPr>
              <w:t>39</w:t>
            </w:r>
          </w:p>
        </w:tc>
        <w:tc>
          <w:tcPr>
            <w:tcW w:w="1148" w:type="pct"/>
            <w:tcBorders>
              <w:top w:val="nil"/>
              <w:left w:val="nil"/>
              <w:bottom w:val="single" w:sz="8" w:space="0" w:color="auto"/>
              <w:right w:val="single" w:sz="8" w:space="0" w:color="auto"/>
            </w:tcBorders>
            <w:shd w:val="clear" w:color="000000" w:fill="DAEEF3"/>
            <w:vAlign w:val="center"/>
            <w:hideMark/>
          </w:tcPr>
          <w:p w14:paraId="5FCEDFA5" w14:textId="77777777" w:rsidR="007677CF" w:rsidRPr="007677CF" w:rsidRDefault="007677CF">
            <w:pPr>
              <w:spacing w:after="0"/>
              <w:jc w:val="center"/>
              <w:rPr>
                <w:rFonts w:ascii="Arial Narrow" w:hAnsi="Arial Narrow"/>
                <w:color w:val="000000"/>
                <w:szCs w:val="24"/>
                <w:lang w:eastAsia="en-AU"/>
              </w:rPr>
            </w:pPr>
            <w:r w:rsidRPr="007677CF">
              <w:rPr>
                <w:rFonts w:ascii="Arial Narrow" w:hAnsi="Arial Narrow"/>
                <w:color w:val="000000"/>
                <w:szCs w:val="24"/>
                <w:lang w:eastAsia="en-AU"/>
              </w:rPr>
              <w:t>46</w:t>
            </w:r>
            <w:r w:rsidR="00F96B01">
              <w:rPr>
                <w:rFonts w:ascii="Arial Narrow" w:hAnsi="Arial Narrow"/>
                <w:color w:val="000000"/>
                <w:szCs w:val="24"/>
                <w:lang w:eastAsia="en-AU"/>
              </w:rPr>
              <w:t>1</w:t>
            </w:r>
            <w:r w:rsidRPr="007677CF">
              <w:rPr>
                <w:rFonts w:ascii="Arial Narrow" w:hAnsi="Arial Narrow"/>
                <w:color w:val="000000"/>
                <w:szCs w:val="24"/>
                <w:lang w:eastAsia="en-AU"/>
              </w:rPr>
              <w:t>,4</w:t>
            </w:r>
            <w:r w:rsidR="00F96B01">
              <w:rPr>
                <w:rFonts w:ascii="Arial Narrow" w:hAnsi="Arial Narrow"/>
                <w:color w:val="000000"/>
                <w:szCs w:val="24"/>
                <w:lang w:eastAsia="en-AU"/>
              </w:rPr>
              <w:t>0</w:t>
            </w:r>
            <w:r w:rsidRPr="007677CF">
              <w:rPr>
                <w:rFonts w:ascii="Arial Narrow" w:hAnsi="Arial Narrow"/>
                <w:color w:val="000000"/>
                <w:szCs w:val="24"/>
                <w:lang w:eastAsia="en-AU"/>
              </w:rPr>
              <w:t>7</w:t>
            </w:r>
          </w:p>
        </w:tc>
      </w:tr>
      <w:tr w:rsidR="007677CF" w:rsidRPr="007677CF" w14:paraId="3F525224" w14:textId="77777777" w:rsidTr="00C64B46">
        <w:trPr>
          <w:trHeight w:val="600"/>
        </w:trPr>
        <w:tc>
          <w:tcPr>
            <w:tcW w:w="2704" w:type="pct"/>
            <w:gridSpan w:val="2"/>
            <w:tcBorders>
              <w:top w:val="single" w:sz="8" w:space="0" w:color="auto"/>
              <w:left w:val="single" w:sz="8" w:space="0" w:color="auto"/>
              <w:bottom w:val="single" w:sz="8" w:space="0" w:color="auto"/>
              <w:right w:val="single" w:sz="8" w:space="0" w:color="FFFFFF"/>
            </w:tcBorders>
            <w:shd w:val="clear" w:color="auto" w:fill="auto"/>
            <w:vAlign w:val="center"/>
            <w:hideMark/>
          </w:tcPr>
          <w:p w14:paraId="61CCFBA7" w14:textId="77777777" w:rsidR="007677CF" w:rsidRPr="00C64B46" w:rsidRDefault="007677CF" w:rsidP="00C64B46">
            <w:pPr>
              <w:spacing w:after="0"/>
              <w:rPr>
                <w:rFonts w:ascii="Arial Narrow" w:hAnsi="Arial Narrow"/>
                <w:b/>
                <w:bCs/>
                <w:szCs w:val="24"/>
                <w:lang w:eastAsia="en-AU"/>
              </w:rPr>
            </w:pPr>
            <w:r w:rsidRPr="00C64B46">
              <w:rPr>
                <w:rFonts w:ascii="Arial Narrow" w:hAnsi="Arial Narrow"/>
                <w:b/>
                <w:bCs/>
                <w:szCs w:val="24"/>
                <w:lang w:eastAsia="en-AU"/>
              </w:rPr>
              <w:t>TOTAL</w:t>
            </w:r>
          </w:p>
        </w:tc>
        <w:tc>
          <w:tcPr>
            <w:tcW w:w="1148" w:type="pct"/>
            <w:tcBorders>
              <w:top w:val="single" w:sz="8" w:space="0" w:color="auto"/>
              <w:left w:val="nil"/>
              <w:bottom w:val="single" w:sz="8" w:space="0" w:color="auto"/>
              <w:right w:val="single" w:sz="8" w:space="0" w:color="FFFFFF"/>
            </w:tcBorders>
            <w:shd w:val="clear" w:color="auto" w:fill="auto"/>
            <w:vAlign w:val="center"/>
            <w:hideMark/>
          </w:tcPr>
          <w:p w14:paraId="0FDF2131" w14:textId="77777777" w:rsidR="007677CF" w:rsidRPr="00C64B46" w:rsidRDefault="007677CF">
            <w:pPr>
              <w:spacing w:after="0"/>
              <w:jc w:val="center"/>
              <w:rPr>
                <w:rFonts w:ascii="Arial Narrow" w:hAnsi="Arial Narrow"/>
                <w:b/>
                <w:bCs/>
                <w:szCs w:val="24"/>
                <w:lang w:eastAsia="en-AU"/>
              </w:rPr>
            </w:pPr>
            <w:r w:rsidRPr="00C64B46">
              <w:rPr>
                <w:rFonts w:ascii="Arial Narrow" w:hAnsi="Arial Narrow"/>
                <w:b/>
                <w:bCs/>
                <w:szCs w:val="24"/>
                <w:lang w:eastAsia="en-AU"/>
              </w:rPr>
              <w:t>73</w:t>
            </w:r>
            <w:r w:rsidR="00251991" w:rsidRPr="00C64B46">
              <w:rPr>
                <w:rFonts w:ascii="Arial Narrow" w:hAnsi="Arial Narrow"/>
                <w:b/>
                <w:bCs/>
                <w:szCs w:val="24"/>
                <w:lang w:eastAsia="en-AU"/>
              </w:rPr>
              <w:t>5</w:t>
            </w:r>
            <w:r w:rsidRPr="00C64B46">
              <w:rPr>
                <w:rFonts w:ascii="Arial Narrow" w:hAnsi="Arial Narrow"/>
                <w:b/>
                <w:bCs/>
                <w:szCs w:val="24"/>
                <w:lang w:eastAsia="en-AU"/>
              </w:rPr>
              <w:t>.</w:t>
            </w:r>
            <w:r w:rsidR="00251991" w:rsidRPr="00C64B46">
              <w:rPr>
                <w:rFonts w:ascii="Arial Narrow" w:hAnsi="Arial Narrow"/>
                <w:b/>
                <w:bCs/>
                <w:szCs w:val="24"/>
                <w:lang w:eastAsia="en-AU"/>
              </w:rPr>
              <w:t>91</w:t>
            </w:r>
          </w:p>
        </w:tc>
        <w:tc>
          <w:tcPr>
            <w:tcW w:w="1148" w:type="pct"/>
            <w:tcBorders>
              <w:top w:val="single" w:sz="8" w:space="0" w:color="auto"/>
              <w:left w:val="nil"/>
              <w:bottom w:val="single" w:sz="8" w:space="0" w:color="auto"/>
              <w:right w:val="single" w:sz="8" w:space="0" w:color="auto"/>
            </w:tcBorders>
            <w:shd w:val="clear" w:color="auto" w:fill="auto"/>
            <w:vAlign w:val="center"/>
            <w:hideMark/>
          </w:tcPr>
          <w:p w14:paraId="7E092160" w14:textId="77777777" w:rsidR="007677CF" w:rsidRPr="00C64B46" w:rsidRDefault="007677CF">
            <w:pPr>
              <w:spacing w:after="0"/>
              <w:jc w:val="center"/>
              <w:rPr>
                <w:rFonts w:ascii="Arial Narrow" w:hAnsi="Arial Narrow"/>
                <w:b/>
                <w:bCs/>
                <w:szCs w:val="24"/>
                <w:lang w:eastAsia="en-AU"/>
              </w:rPr>
            </w:pPr>
            <w:r w:rsidRPr="00C64B46">
              <w:rPr>
                <w:rFonts w:ascii="Arial Narrow" w:hAnsi="Arial Narrow"/>
                <w:b/>
                <w:bCs/>
                <w:szCs w:val="24"/>
                <w:lang w:eastAsia="en-AU"/>
              </w:rPr>
              <w:t>1,43</w:t>
            </w:r>
            <w:r w:rsidR="00CE19BF" w:rsidRPr="00C64B46">
              <w:rPr>
                <w:rFonts w:ascii="Arial Narrow" w:hAnsi="Arial Narrow"/>
                <w:b/>
                <w:bCs/>
                <w:szCs w:val="24"/>
                <w:lang w:eastAsia="en-AU"/>
              </w:rPr>
              <w:t>2</w:t>
            </w:r>
            <w:r w:rsidRPr="00C64B46">
              <w:rPr>
                <w:rFonts w:ascii="Arial Narrow" w:hAnsi="Arial Narrow"/>
                <w:b/>
                <w:bCs/>
                <w:szCs w:val="24"/>
                <w:lang w:eastAsia="en-AU"/>
              </w:rPr>
              <w:t>,4</w:t>
            </w:r>
            <w:r w:rsidR="00CE19BF" w:rsidRPr="00C64B46">
              <w:rPr>
                <w:rFonts w:ascii="Arial Narrow" w:hAnsi="Arial Narrow"/>
                <w:b/>
                <w:bCs/>
                <w:szCs w:val="24"/>
                <w:lang w:eastAsia="en-AU"/>
              </w:rPr>
              <w:t>81</w:t>
            </w:r>
          </w:p>
        </w:tc>
      </w:tr>
    </w:tbl>
    <w:p w14:paraId="54260911" w14:textId="77777777" w:rsidR="002C355B" w:rsidRDefault="002C355B" w:rsidP="0026613B">
      <w:pPr>
        <w:pStyle w:val="BodyText"/>
      </w:pPr>
      <w:r>
        <w:br w:type="page"/>
      </w:r>
    </w:p>
    <w:p w14:paraId="5236B0C9" w14:textId="77777777" w:rsidR="007F2910" w:rsidRPr="00140CAE" w:rsidRDefault="007F2910" w:rsidP="007F2910">
      <w:pPr>
        <w:pStyle w:val="Heading3"/>
        <w:rPr>
          <w:color w:val="0070C0"/>
          <w:szCs w:val="24"/>
        </w:rPr>
      </w:pPr>
      <w:bookmarkStart w:id="28" w:name="_Toc532820125"/>
      <w:bookmarkStart w:id="29" w:name="_Toc56419068"/>
      <w:r w:rsidRPr="00140CAE">
        <w:rPr>
          <w:color w:val="0070C0"/>
          <w:szCs w:val="24"/>
        </w:rPr>
        <w:lastRenderedPageBreak/>
        <w:t>5.1.</w:t>
      </w:r>
      <w:r w:rsidR="00237FC8" w:rsidRPr="00140CAE">
        <w:rPr>
          <w:color w:val="0070C0"/>
          <w:szCs w:val="24"/>
        </w:rPr>
        <w:t>1</w:t>
      </w:r>
      <w:r w:rsidRPr="00140CAE">
        <w:rPr>
          <w:color w:val="0070C0"/>
          <w:szCs w:val="24"/>
        </w:rPr>
        <w:tab/>
        <w:t>Asset Age</w:t>
      </w:r>
      <w:bookmarkEnd w:id="28"/>
      <w:bookmarkEnd w:id="29"/>
    </w:p>
    <w:p w14:paraId="1728E02B" w14:textId="77777777" w:rsidR="00AE0E2A" w:rsidRDefault="00AE0E2A" w:rsidP="00AE0E2A">
      <w:pPr>
        <w:pStyle w:val="BodyText"/>
        <w:tabs>
          <w:tab w:val="left" w:pos="851"/>
        </w:tabs>
        <w:jc w:val="left"/>
        <w:rPr>
          <w:rFonts w:cs="Arial"/>
          <w:szCs w:val="24"/>
        </w:rPr>
      </w:pPr>
      <w:r w:rsidRPr="00EA6639">
        <w:rPr>
          <w:rFonts w:cs="Arial"/>
          <w:szCs w:val="24"/>
        </w:rPr>
        <w:t xml:space="preserve">The </w:t>
      </w:r>
      <w:r w:rsidR="000D0D8B">
        <w:rPr>
          <w:rFonts w:cs="Arial"/>
          <w:szCs w:val="24"/>
        </w:rPr>
        <w:t>age profile for the footpath infrastructure assets are shown in Graph 5.1.1.</w:t>
      </w:r>
      <w:r w:rsidR="00687EB1">
        <w:rPr>
          <w:rFonts w:cs="Arial"/>
          <w:szCs w:val="24"/>
        </w:rPr>
        <w:t xml:space="preserve"> </w:t>
      </w:r>
    </w:p>
    <w:p w14:paraId="162CA099" w14:textId="77777777" w:rsidR="00B82494" w:rsidRPr="00140CAE" w:rsidRDefault="008B476F" w:rsidP="00616E47">
      <w:pPr>
        <w:keepNext/>
        <w:rPr>
          <w:b/>
          <w:color w:val="0070C0"/>
          <w:szCs w:val="22"/>
        </w:rPr>
      </w:pPr>
      <w:r w:rsidRPr="00140CAE">
        <w:rPr>
          <w:noProof/>
          <w:color w:val="0070C0"/>
          <w:lang w:eastAsia="en-AU"/>
        </w:rPr>
        <w:drawing>
          <wp:anchor distT="0" distB="0" distL="114300" distR="114300" simplePos="0" relativeHeight="251708416" behindDoc="1" locked="0" layoutInCell="1" allowOverlap="1" wp14:anchorId="11EDEA40" wp14:editId="6F40447B">
            <wp:simplePos x="0" y="0"/>
            <wp:positionH relativeFrom="column">
              <wp:posOffset>-320675</wp:posOffset>
            </wp:positionH>
            <wp:positionV relativeFrom="paragraph">
              <wp:posOffset>358775</wp:posOffset>
            </wp:positionV>
            <wp:extent cx="6424295" cy="3811905"/>
            <wp:effectExtent l="0" t="0" r="14605" b="17145"/>
            <wp:wrapTight wrapText="bothSides">
              <wp:wrapPolygon edited="0">
                <wp:start x="0" y="0"/>
                <wp:lineTo x="0" y="21589"/>
                <wp:lineTo x="21585" y="21589"/>
                <wp:lineTo x="21585" y="0"/>
                <wp:lineTo x="0" y="0"/>
              </wp:wrapPolygon>
            </wp:wrapTight>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404DF" w:rsidRPr="00140CAE">
        <w:rPr>
          <w:b/>
          <w:color w:val="0070C0"/>
          <w:szCs w:val="22"/>
        </w:rPr>
        <w:t>Graph 5.1</w:t>
      </w:r>
      <w:r w:rsidR="005D7C8C" w:rsidRPr="00140CAE">
        <w:rPr>
          <w:b/>
          <w:color w:val="0070C0"/>
          <w:szCs w:val="22"/>
        </w:rPr>
        <w:t>.</w:t>
      </w:r>
      <w:r w:rsidR="00237FC8" w:rsidRPr="00140CAE">
        <w:rPr>
          <w:b/>
          <w:color w:val="0070C0"/>
          <w:szCs w:val="22"/>
        </w:rPr>
        <w:t>1</w:t>
      </w:r>
      <w:r w:rsidR="00AE0E2A" w:rsidRPr="00140CAE">
        <w:rPr>
          <w:b/>
          <w:color w:val="0070C0"/>
          <w:szCs w:val="22"/>
        </w:rPr>
        <w:t xml:space="preserve"> </w:t>
      </w:r>
      <w:r w:rsidR="00AE0E2A" w:rsidRPr="00140CAE">
        <w:rPr>
          <w:b/>
          <w:color w:val="0070C0"/>
          <w:szCs w:val="22"/>
        </w:rPr>
        <w:tab/>
        <w:t>Age Profile - Footpaths</w:t>
      </w:r>
      <w:r w:rsidR="00184633" w:rsidRPr="00140CAE">
        <w:rPr>
          <w:b/>
          <w:color w:val="0070C0"/>
          <w:szCs w:val="22"/>
        </w:rPr>
        <w:t xml:space="preserve"> </w:t>
      </w:r>
    </w:p>
    <w:p w14:paraId="4919D24B" w14:textId="77777777" w:rsidR="008C79D2" w:rsidRDefault="008C79D2" w:rsidP="008C79D2">
      <w:pPr>
        <w:rPr>
          <w:noProof/>
          <w:lang w:eastAsia="en-AU"/>
        </w:rPr>
      </w:pPr>
    </w:p>
    <w:p w14:paraId="7EA5505F" w14:textId="77777777" w:rsidR="00B474BA" w:rsidRPr="00BF2B41" w:rsidRDefault="008C79D2" w:rsidP="00BF2B41">
      <w:r w:rsidRPr="00032DB0">
        <w:t xml:space="preserve">From graph 5.1.1, </w:t>
      </w:r>
      <w:r w:rsidR="00234A1B">
        <w:t>84</w:t>
      </w:r>
      <w:r w:rsidRPr="00032DB0">
        <w:t xml:space="preserve">% of the City’s </w:t>
      </w:r>
      <w:r>
        <w:t>Footpath</w:t>
      </w:r>
      <w:r w:rsidRPr="00032DB0">
        <w:t xml:space="preserve"> assets</w:t>
      </w:r>
      <w:r w:rsidR="004A3A35">
        <w:t xml:space="preserve"> have been</w:t>
      </w:r>
      <w:r w:rsidRPr="00032DB0">
        <w:t xml:space="preserve"> </w:t>
      </w:r>
      <w:r>
        <w:t xml:space="preserve">constructed </w:t>
      </w:r>
      <w:r w:rsidRPr="00032DB0">
        <w:t xml:space="preserve">within the </w:t>
      </w:r>
      <w:r>
        <w:t>last</w:t>
      </w:r>
      <w:r w:rsidRPr="00032DB0">
        <w:t xml:space="preserve"> 20 years.</w:t>
      </w:r>
      <w:r w:rsidR="00234A1B">
        <w:t xml:space="preserve"> </w:t>
      </w:r>
      <w:r w:rsidRPr="00032DB0">
        <w:t xml:space="preserve"> </w:t>
      </w:r>
      <w:r w:rsidR="00B474BA">
        <w:rPr>
          <w:szCs w:val="24"/>
        </w:rPr>
        <w:br w:type="page"/>
      </w:r>
    </w:p>
    <w:p w14:paraId="27095781" w14:textId="77777777" w:rsidR="00642265" w:rsidRPr="00140CAE" w:rsidRDefault="00AE0E2A" w:rsidP="00753FA6">
      <w:pPr>
        <w:pStyle w:val="Heading3"/>
        <w:rPr>
          <w:color w:val="0070C0"/>
          <w:szCs w:val="24"/>
        </w:rPr>
      </w:pPr>
      <w:bookmarkStart w:id="30" w:name="_Toc56419069"/>
      <w:r w:rsidRPr="00140CAE">
        <w:rPr>
          <w:color w:val="0070C0"/>
          <w:szCs w:val="24"/>
        </w:rPr>
        <w:lastRenderedPageBreak/>
        <w:t>5.1.</w:t>
      </w:r>
      <w:r w:rsidR="009A571A" w:rsidRPr="00140CAE">
        <w:rPr>
          <w:color w:val="0070C0"/>
          <w:szCs w:val="24"/>
        </w:rPr>
        <w:t>2</w:t>
      </w:r>
      <w:r w:rsidRPr="00140CAE">
        <w:rPr>
          <w:color w:val="0070C0"/>
          <w:szCs w:val="24"/>
        </w:rPr>
        <w:tab/>
      </w:r>
      <w:r w:rsidR="00642265" w:rsidRPr="00140CAE">
        <w:rPr>
          <w:color w:val="0070C0"/>
          <w:szCs w:val="24"/>
        </w:rPr>
        <w:t>Asset condition</w:t>
      </w:r>
      <w:bookmarkEnd w:id="30"/>
      <w:r w:rsidR="00642265" w:rsidRPr="00140CAE">
        <w:rPr>
          <w:color w:val="0070C0"/>
          <w:szCs w:val="24"/>
        </w:rPr>
        <w:t xml:space="preserve"> </w:t>
      </w:r>
    </w:p>
    <w:p w14:paraId="2C6EC79B" w14:textId="77777777" w:rsidR="006509DF" w:rsidRDefault="00642265" w:rsidP="006509DF">
      <w:pPr>
        <w:pStyle w:val="BodyText"/>
        <w:rPr>
          <w:rFonts w:cs="Arial"/>
          <w:szCs w:val="24"/>
        </w:rPr>
      </w:pPr>
      <w:r w:rsidRPr="00EA6639">
        <w:rPr>
          <w:rFonts w:cs="Arial"/>
          <w:szCs w:val="24"/>
        </w:rPr>
        <w:t>The Condition profile of the City</w:t>
      </w:r>
      <w:r w:rsidR="00B474BA">
        <w:rPr>
          <w:rFonts w:cs="Arial"/>
          <w:szCs w:val="24"/>
        </w:rPr>
        <w:t>’s</w:t>
      </w:r>
      <w:r w:rsidRPr="00EA6639">
        <w:rPr>
          <w:rFonts w:cs="Arial"/>
          <w:szCs w:val="24"/>
        </w:rPr>
        <w:t xml:space="preserve"> </w:t>
      </w:r>
      <w:r w:rsidR="00CC273F">
        <w:rPr>
          <w:rFonts w:cs="Arial"/>
          <w:szCs w:val="24"/>
        </w:rPr>
        <w:t>footpath</w:t>
      </w:r>
      <w:r w:rsidRPr="00EA6639">
        <w:rPr>
          <w:rFonts w:cs="Arial"/>
          <w:szCs w:val="24"/>
        </w:rPr>
        <w:t xml:space="preserve"> infrastructure assets </w:t>
      </w:r>
      <w:r w:rsidR="00B02602">
        <w:rPr>
          <w:rFonts w:cs="Arial"/>
          <w:szCs w:val="24"/>
        </w:rPr>
        <w:t>are</w:t>
      </w:r>
      <w:r w:rsidRPr="00EA6639">
        <w:rPr>
          <w:rFonts w:cs="Arial"/>
          <w:szCs w:val="24"/>
        </w:rPr>
        <w:t xml:space="preserve"> measured using a 1 to 5 rating system </w:t>
      </w:r>
      <w:r w:rsidR="00174F64">
        <w:rPr>
          <w:rFonts w:cs="Arial"/>
          <w:szCs w:val="24"/>
        </w:rPr>
        <w:t xml:space="preserve">as </w:t>
      </w:r>
      <w:r w:rsidRPr="00EA6639">
        <w:rPr>
          <w:rFonts w:cs="Arial"/>
          <w:szCs w:val="24"/>
        </w:rPr>
        <w:t>outlined below.</w:t>
      </w:r>
    </w:p>
    <w:tbl>
      <w:tblPr>
        <w:tblStyle w:val="MediumGrid3-Accent5"/>
        <w:tblW w:w="0" w:type="auto"/>
        <w:tblLook w:val="04A0" w:firstRow="1" w:lastRow="0" w:firstColumn="1" w:lastColumn="0" w:noHBand="0" w:noVBand="1"/>
      </w:tblPr>
      <w:tblGrid>
        <w:gridCol w:w="963"/>
        <w:gridCol w:w="1245"/>
        <w:gridCol w:w="3276"/>
        <w:gridCol w:w="3477"/>
      </w:tblGrid>
      <w:tr w:rsidR="00695FC3" w:rsidRPr="000640FA" w14:paraId="14EF0671" w14:textId="77777777" w:rsidTr="001819AF">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963" w:type="dxa"/>
            <w:vAlign w:val="center"/>
          </w:tcPr>
          <w:p w14:paraId="30EC53AF"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t>Rating</w:t>
            </w:r>
          </w:p>
        </w:tc>
        <w:tc>
          <w:tcPr>
            <w:tcW w:w="7998" w:type="dxa"/>
            <w:gridSpan w:val="3"/>
          </w:tcPr>
          <w:p w14:paraId="75533A43" w14:textId="77777777" w:rsidR="00695FC3" w:rsidRPr="000640FA" w:rsidRDefault="00695FC3" w:rsidP="00695FC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4"/>
              </w:rPr>
            </w:pPr>
            <w:r w:rsidRPr="000640FA">
              <w:rPr>
                <w:rFonts w:ascii="Arial Narrow" w:hAnsi="Arial Narrow" w:cs="Arial"/>
                <w:szCs w:val="24"/>
              </w:rPr>
              <w:t>Description</w:t>
            </w:r>
          </w:p>
        </w:tc>
      </w:tr>
      <w:tr w:rsidR="00695FC3" w:rsidRPr="0080398F" w14:paraId="1B525C4A" w14:textId="77777777" w:rsidTr="00181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3" w:type="dxa"/>
            <w:vAlign w:val="center"/>
          </w:tcPr>
          <w:p w14:paraId="30D6D852"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t>1</w:t>
            </w:r>
          </w:p>
        </w:tc>
        <w:tc>
          <w:tcPr>
            <w:tcW w:w="1245" w:type="dxa"/>
            <w:vAlign w:val="center"/>
          </w:tcPr>
          <w:p w14:paraId="3D358F44" w14:textId="77777777" w:rsidR="00695FC3" w:rsidRPr="0080398F" w:rsidRDefault="00695FC3" w:rsidP="009D79C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Excellent</w:t>
            </w:r>
          </w:p>
        </w:tc>
        <w:tc>
          <w:tcPr>
            <w:tcW w:w="3276" w:type="dxa"/>
          </w:tcPr>
          <w:p w14:paraId="4AC5F680" w14:textId="77777777" w:rsidR="00695FC3" w:rsidRPr="0080398F" w:rsidRDefault="00695FC3" w:rsidP="00695FC3">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noProof/>
                <w:szCs w:val="24"/>
                <w:lang w:eastAsia="en-AU"/>
              </w:rPr>
              <w:drawing>
                <wp:inline distT="0" distB="0" distL="0" distR="0" wp14:anchorId="0F901B79" wp14:editId="267A9CF1">
                  <wp:extent cx="1458000" cy="1944000"/>
                  <wp:effectExtent l="0" t="0" r="889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set Services\Documents\Roads\2011\Pictures 2011\Roads\Road Condition pics\R1-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58000" cy="1944000"/>
                          </a:xfrm>
                          <a:prstGeom prst="rect">
                            <a:avLst/>
                          </a:prstGeom>
                          <a:noFill/>
                          <a:ln w="9525">
                            <a:noFill/>
                            <a:miter lim="800000"/>
                            <a:headEnd/>
                            <a:tailEnd/>
                          </a:ln>
                        </pic:spPr>
                      </pic:pic>
                    </a:graphicData>
                  </a:graphic>
                </wp:inline>
              </w:drawing>
            </w:r>
          </w:p>
        </w:tc>
        <w:tc>
          <w:tcPr>
            <w:tcW w:w="3477" w:type="dxa"/>
            <w:vAlign w:val="center"/>
          </w:tcPr>
          <w:p w14:paraId="278E5B54" w14:textId="77777777" w:rsidR="00695FC3" w:rsidRPr="0080398F" w:rsidRDefault="00695FC3" w:rsidP="0062382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noProof/>
                <w:szCs w:val="24"/>
                <w:lang w:eastAsia="en-AU"/>
              </w:rPr>
            </w:pPr>
            <w:r w:rsidRPr="0080398F">
              <w:rPr>
                <w:rFonts w:ascii="Arial Narrow" w:hAnsi="Arial Narrow" w:cs="Arial"/>
                <w:szCs w:val="24"/>
              </w:rPr>
              <w:t>A new asset or an asset in overall excellent condition with only a slight condition decline.</w:t>
            </w:r>
          </w:p>
        </w:tc>
      </w:tr>
      <w:tr w:rsidR="00695FC3" w:rsidRPr="0080398F" w14:paraId="0E2A600A" w14:textId="77777777" w:rsidTr="001819AF">
        <w:trPr>
          <w:cantSplit/>
        </w:trPr>
        <w:tc>
          <w:tcPr>
            <w:cnfStyle w:val="001000000000" w:firstRow="0" w:lastRow="0" w:firstColumn="1" w:lastColumn="0" w:oddVBand="0" w:evenVBand="0" w:oddHBand="0" w:evenHBand="0" w:firstRowFirstColumn="0" w:firstRowLastColumn="0" w:lastRowFirstColumn="0" w:lastRowLastColumn="0"/>
            <w:tcW w:w="963" w:type="dxa"/>
            <w:vAlign w:val="center"/>
          </w:tcPr>
          <w:p w14:paraId="41AB5441"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t>2</w:t>
            </w:r>
          </w:p>
        </w:tc>
        <w:tc>
          <w:tcPr>
            <w:tcW w:w="1245" w:type="dxa"/>
            <w:vAlign w:val="center"/>
          </w:tcPr>
          <w:p w14:paraId="64CC257E" w14:textId="77777777" w:rsidR="00695FC3" w:rsidRPr="0080398F" w:rsidRDefault="00695FC3" w:rsidP="009D79C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Good</w:t>
            </w:r>
          </w:p>
        </w:tc>
        <w:tc>
          <w:tcPr>
            <w:tcW w:w="3276" w:type="dxa"/>
          </w:tcPr>
          <w:p w14:paraId="06C7317D" w14:textId="77777777" w:rsidR="00695FC3" w:rsidRPr="0080398F" w:rsidRDefault="00695FC3" w:rsidP="00695FC3">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0398F">
              <w:rPr>
                <w:rFonts w:ascii="Arial Narrow" w:hAnsi="Arial Narrow" w:cs="Arial"/>
                <w:noProof/>
                <w:szCs w:val="24"/>
                <w:lang w:eastAsia="en-AU"/>
              </w:rPr>
              <w:drawing>
                <wp:inline distT="0" distB="0" distL="0" distR="0" wp14:anchorId="48E394EE" wp14:editId="5DD53DF5">
                  <wp:extent cx="1913806" cy="1435354"/>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sset Services\Documents\Roads\2011\Pictures 2011\Hamilton Hill\Pictures 11Apr11 010 (Small).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913806" cy="1435354"/>
                          </a:xfrm>
                          <a:prstGeom prst="rect">
                            <a:avLst/>
                          </a:prstGeom>
                          <a:noFill/>
                          <a:ln w="9525">
                            <a:noFill/>
                            <a:miter lim="800000"/>
                            <a:headEnd/>
                            <a:tailEnd/>
                          </a:ln>
                        </pic:spPr>
                      </pic:pic>
                    </a:graphicData>
                  </a:graphic>
                </wp:inline>
              </w:drawing>
            </w:r>
          </w:p>
        </w:tc>
        <w:tc>
          <w:tcPr>
            <w:tcW w:w="3477" w:type="dxa"/>
            <w:vAlign w:val="center"/>
          </w:tcPr>
          <w:p w14:paraId="22C22C4E" w14:textId="77777777" w:rsidR="00695FC3" w:rsidRPr="0080398F" w:rsidRDefault="00695FC3" w:rsidP="00777EE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24"/>
                <w:lang w:eastAsia="en-AU"/>
              </w:rPr>
            </w:pPr>
            <w:r w:rsidRPr="0080398F">
              <w:rPr>
                <w:rFonts w:ascii="Arial Narrow" w:hAnsi="Arial Narrow" w:cs="Arial"/>
                <w:szCs w:val="24"/>
              </w:rPr>
              <w:t>An asset in an overall good condition but with minor signs of deterioration evident, serviceability may be slightly impaired. Minor maintenance is required</w:t>
            </w:r>
          </w:p>
        </w:tc>
      </w:tr>
      <w:tr w:rsidR="00695FC3" w:rsidRPr="0080398F" w14:paraId="742363C3" w14:textId="77777777" w:rsidTr="003606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3" w:type="dxa"/>
            <w:tcBorders>
              <w:bottom w:val="single" w:sz="6" w:space="0" w:color="FFFFFF" w:themeColor="background1"/>
            </w:tcBorders>
            <w:vAlign w:val="center"/>
          </w:tcPr>
          <w:p w14:paraId="0AB31FDA"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t>3</w:t>
            </w:r>
          </w:p>
        </w:tc>
        <w:tc>
          <w:tcPr>
            <w:tcW w:w="1245" w:type="dxa"/>
            <w:vAlign w:val="center"/>
          </w:tcPr>
          <w:p w14:paraId="14D994DC" w14:textId="77777777" w:rsidR="00695FC3" w:rsidRPr="0080398F" w:rsidRDefault="00695FC3" w:rsidP="009D79C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Moderate</w:t>
            </w:r>
          </w:p>
        </w:tc>
        <w:tc>
          <w:tcPr>
            <w:tcW w:w="3276" w:type="dxa"/>
          </w:tcPr>
          <w:p w14:paraId="7A308B45" w14:textId="77777777" w:rsidR="00695FC3" w:rsidRPr="0080398F" w:rsidRDefault="00695FC3" w:rsidP="00695FC3">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noProof/>
                <w:szCs w:val="24"/>
                <w:lang w:eastAsia="en-AU"/>
              </w:rPr>
              <w:drawing>
                <wp:inline distT="0" distB="0" distL="0" distR="0" wp14:anchorId="58B6D57E" wp14:editId="7929156B">
                  <wp:extent cx="1913806" cy="1435354"/>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sset Services\Documents\Roads\2011\Pictures 2011\Roads\Block crackin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13806" cy="1435354"/>
                          </a:xfrm>
                          <a:prstGeom prst="rect">
                            <a:avLst/>
                          </a:prstGeom>
                          <a:noFill/>
                          <a:ln w="9525">
                            <a:noFill/>
                            <a:miter lim="800000"/>
                            <a:headEnd/>
                            <a:tailEnd/>
                          </a:ln>
                        </pic:spPr>
                      </pic:pic>
                    </a:graphicData>
                  </a:graphic>
                </wp:inline>
              </w:drawing>
            </w:r>
          </w:p>
        </w:tc>
        <w:tc>
          <w:tcPr>
            <w:tcW w:w="3477" w:type="dxa"/>
            <w:vAlign w:val="center"/>
          </w:tcPr>
          <w:p w14:paraId="335BBD9E" w14:textId="77777777" w:rsidR="00695FC3" w:rsidRPr="0080398F" w:rsidRDefault="00695FC3" w:rsidP="00777EE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An asset with obvious signs of deterioration. Significant maintenance is required</w:t>
            </w:r>
          </w:p>
          <w:p w14:paraId="6186316F" w14:textId="77777777" w:rsidR="00695FC3" w:rsidRPr="0080398F" w:rsidRDefault="00695FC3" w:rsidP="00777EE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r>
      <w:tr w:rsidR="00695FC3" w:rsidRPr="0080398F" w14:paraId="5DF09BB2" w14:textId="77777777" w:rsidTr="00360627">
        <w:trPr>
          <w:cantSplit/>
        </w:trPr>
        <w:tc>
          <w:tcPr>
            <w:cnfStyle w:val="001000000000" w:firstRow="0" w:lastRow="0" w:firstColumn="1" w:lastColumn="0" w:oddVBand="0" w:evenVBand="0" w:oddHBand="0" w:evenHBand="0" w:firstRowFirstColumn="0" w:firstRowLastColumn="0" w:lastRowFirstColumn="0" w:lastRowLastColumn="0"/>
            <w:tcW w:w="963" w:type="dxa"/>
            <w:tcBorders>
              <w:top w:val="single" w:sz="6" w:space="0" w:color="FFFFFF" w:themeColor="background1"/>
              <w:bottom w:val="single" w:sz="8" w:space="0" w:color="FFFFFF" w:themeColor="background1"/>
            </w:tcBorders>
            <w:vAlign w:val="center"/>
          </w:tcPr>
          <w:p w14:paraId="0CB71406"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t>4</w:t>
            </w:r>
          </w:p>
        </w:tc>
        <w:tc>
          <w:tcPr>
            <w:tcW w:w="1245" w:type="dxa"/>
            <w:tcBorders>
              <w:bottom w:val="single" w:sz="8" w:space="0" w:color="FFFFFF" w:themeColor="background1"/>
            </w:tcBorders>
            <w:vAlign w:val="center"/>
          </w:tcPr>
          <w:p w14:paraId="6687D81C" w14:textId="77777777" w:rsidR="00695FC3" w:rsidRPr="0080398F" w:rsidRDefault="00695FC3" w:rsidP="009D79C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Poor</w:t>
            </w:r>
          </w:p>
        </w:tc>
        <w:tc>
          <w:tcPr>
            <w:tcW w:w="3276" w:type="dxa"/>
          </w:tcPr>
          <w:p w14:paraId="047A9147" w14:textId="77777777" w:rsidR="00695FC3" w:rsidRPr="0080398F" w:rsidRDefault="00695FC3" w:rsidP="00695FC3">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0398F">
              <w:rPr>
                <w:rFonts w:ascii="Arial Narrow" w:hAnsi="Arial Narrow" w:cs="Arial"/>
                <w:noProof/>
                <w:szCs w:val="24"/>
                <w:lang w:eastAsia="en-AU"/>
              </w:rPr>
              <w:drawing>
                <wp:inline distT="0" distB="0" distL="0" distR="0" wp14:anchorId="38279120" wp14:editId="60F737CA">
                  <wp:extent cx="1458442" cy="1952625"/>
                  <wp:effectExtent l="0" t="0" r="889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sset Services\Documents\Roads\2011\Pictures 2011\Roads\Road Condition pics\R8-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58442" cy="1952625"/>
                          </a:xfrm>
                          <a:prstGeom prst="rect">
                            <a:avLst/>
                          </a:prstGeom>
                          <a:noFill/>
                          <a:ln w="9525">
                            <a:noFill/>
                            <a:miter lim="800000"/>
                            <a:headEnd/>
                            <a:tailEnd/>
                          </a:ln>
                        </pic:spPr>
                      </pic:pic>
                    </a:graphicData>
                  </a:graphic>
                </wp:inline>
              </w:drawing>
            </w:r>
          </w:p>
        </w:tc>
        <w:tc>
          <w:tcPr>
            <w:tcW w:w="3477" w:type="dxa"/>
            <w:vAlign w:val="center"/>
          </w:tcPr>
          <w:p w14:paraId="6D2401DE" w14:textId="77777777" w:rsidR="00695FC3" w:rsidRPr="0080398F" w:rsidRDefault="00695FC3" w:rsidP="00777EE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 xml:space="preserve">An asset in a poor condition. Condition deterioration is </w:t>
            </w:r>
            <w:proofErr w:type="gramStart"/>
            <w:r w:rsidRPr="0080398F">
              <w:rPr>
                <w:rFonts w:ascii="Arial Narrow" w:hAnsi="Arial Narrow" w:cs="Arial"/>
                <w:szCs w:val="24"/>
              </w:rPr>
              <w:t>severe</w:t>
            </w:r>
            <w:proofErr w:type="gramEnd"/>
            <w:r w:rsidRPr="0080398F">
              <w:rPr>
                <w:rFonts w:ascii="Arial Narrow" w:hAnsi="Arial Narrow" w:cs="Arial"/>
                <w:szCs w:val="24"/>
              </w:rPr>
              <w:t xml:space="preserve"> and serviceability is becoming limited. Significant renewal or upgrade is required.</w:t>
            </w:r>
          </w:p>
          <w:p w14:paraId="1968A0E1" w14:textId="77777777" w:rsidR="00695FC3" w:rsidRPr="0080398F" w:rsidRDefault="00695FC3" w:rsidP="00777EE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r>
      <w:tr w:rsidR="00695FC3" w:rsidRPr="0080398F" w14:paraId="37D3243B" w14:textId="77777777" w:rsidTr="00360627">
        <w:trPr>
          <w:cnfStyle w:val="000000100000" w:firstRow="0" w:lastRow="0" w:firstColumn="0" w:lastColumn="0" w:oddVBand="0" w:evenVBand="0" w:oddHBand="1" w:evenHBand="0" w:firstRowFirstColumn="0" w:firstRowLastColumn="0" w:lastRowFirstColumn="0" w:lastRowLastColumn="0"/>
          <w:cantSplit/>
          <w:trHeight w:val="3170"/>
        </w:trPr>
        <w:tc>
          <w:tcPr>
            <w:cnfStyle w:val="001000000000" w:firstRow="0" w:lastRow="0" w:firstColumn="1" w:lastColumn="0" w:oddVBand="0" w:evenVBand="0" w:oddHBand="0" w:evenHBand="0" w:firstRowFirstColumn="0" w:firstRowLastColumn="0" w:lastRowFirstColumn="0" w:lastRowLastColumn="0"/>
            <w:tcW w:w="963" w:type="dxa"/>
            <w:vAlign w:val="center"/>
          </w:tcPr>
          <w:p w14:paraId="7291F233" w14:textId="77777777" w:rsidR="00695FC3" w:rsidRPr="000640FA" w:rsidRDefault="00695FC3" w:rsidP="001819AF">
            <w:pPr>
              <w:spacing w:before="60" w:after="60"/>
              <w:jc w:val="center"/>
              <w:rPr>
                <w:rFonts w:ascii="Arial Narrow" w:hAnsi="Arial Narrow" w:cs="Arial"/>
                <w:szCs w:val="24"/>
              </w:rPr>
            </w:pPr>
            <w:r w:rsidRPr="000640FA">
              <w:rPr>
                <w:rFonts w:ascii="Arial Narrow" w:hAnsi="Arial Narrow" w:cs="Arial"/>
                <w:szCs w:val="24"/>
              </w:rPr>
              <w:lastRenderedPageBreak/>
              <w:t>5</w:t>
            </w:r>
          </w:p>
        </w:tc>
        <w:tc>
          <w:tcPr>
            <w:tcW w:w="1245" w:type="dxa"/>
            <w:vAlign w:val="center"/>
          </w:tcPr>
          <w:p w14:paraId="64057600" w14:textId="77777777" w:rsidR="00695FC3" w:rsidRPr="0080398F" w:rsidRDefault="00695FC3" w:rsidP="009D79C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Very poor</w:t>
            </w:r>
          </w:p>
        </w:tc>
        <w:tc>
          <w:tcPr>
            <w:tcW w:w="3276" w:type="dxa"/>
          </w:tcPr>
          <w:p w14:paraId="408CD85C" w14:textId="77777777" w:rsidR="00695FC3" w:rsidRPr="0080398F" w:rsidRDefault="00695FC3" w:rsidP="00777EE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noProof/>
                <w:szCs w:val="24"/>
                <w:lang w:eastAsia="en-AU"/>
              </w:rPr>
              <w:drawing>
                <wp:inline distT="0" distB="0" distL="0" distR="0" wp14:anchorId="07241EF2" wp14:editId="0FC3E63C">
                  <wp:extent cx="1407225" cy="1876301"/>
                  <wp:effectExtent l="0" t="0" r="254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set Services\Documents\Roads\2011\Pictures 2011\Roads\originals\Pictures 29June11 016.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21998" cy="1895998"/>
                          </a:xfrm>
                          <a:prstGeom prst="rect">
                            <a:avLst/>
                          </a:prstGeom>
                          <a:noFill/>
                          <a:ln w="9525">
                            <a:noFill/>
                            <a:miter lim="800000"/>
                            <a:headEnd/>
                            <a:tailEnd/>
                          </a:ln>
                        </pic:spPr>
                      </pic:pic>
                    </a:graphicData>
                  </a:graphic>
                </wp:inline>
              </w:drawing>
            </w:r>
          </w:p>
        </w:tc>
        <w:tc>
          <w:tcPr>
            <w:tcW w:w="3477" w:type="dxa"/>
            <w:vAlign w:val="center"/>
          </w:tcPr>
          <w:p w14:paraId="76550CA6" w14:textId="77777777" w:rsidR="00695FC3" w:rsidRPr="0080398F" w:rsidRDefault="00695FC3" w:rsidP="00777EE1">
            <w:pPr>
              <w:spacing w:before="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80398F">
              <w:rPr>
                <w:rFonts w:ascii="Arial Narrow" w:hAnsi="Arial Narrow" w:cs="Arial"/>
                <w:szCs w:val="24"/>
              </w:rPr>
              <w:t>An asset that has failed and is no longer serviceable. There would be a risk in leaving the asset in service. Replacement is required.</w:t>
            </w:r>
          </w:p>
        </w:tc>
      </w:tr>
    </w:tbl>
    <w:p w14:paraId="3A21C2E0" w14:textId="77777777" w:rsidR="00753FA6" w:rsidRDefault="00753FA6" w:rsidP="007F2EEF">
      <w:pPr>
        <w:pStyle w:val="BodyText"/>
        <w:spacing w:before="120" w:after="120"/>
        <w:rPr>
          <w:rFonts w:cs="Arial"/>
          <w:szCs w:val="24"/>
        </w:rPr>
      </w:pPr>
    </w:p>
    <w:p w14:paraId="3C3DE43E" w14:textId="3F65775A" w:rsidR="003950C3" w:rsidRDefault="003939A8" w:rsidP="00032DB0">
      <w:pPr>
        <w:pStyle w:val="BodyText"/>
        <w:spacing w:before="120"/>
        <w:jc w:val="left"/>
        <w:rPr>
          <w:rFonts w:cs="Arial"/>
          <w:szCs w:val="24"/>
        </w:rPr>
      </w:pPr>
      <w:r>
        <w:rPr>
          <w:rFonts w:cs="Arial"/>
          <w:szCs w:val="24"/>
        </w:rPr>
        <w:t>Based on the City’s operation</w:t>
      </w:r>
      <w:r w:rsidR="007B4469">
        <w:rPr>
          <w:rFonts w:cs="Arial"/>
          <w:szCs w:val="24"/>
        </w:rPr>
        <w:t>al</w:t>
      </w:r>
      <w:r>
        <w:rPr>
          <w:rFonts w:cs="Arial"/>
          <w:szCs w:val="24"/>
        </w:rPr>
        <w:t xml:space="preserve"> asset register t</w:t>
      </w:r>
      <w:r w:rsidR="00642265" w:rsidRPr="00EA6639">
        <w:rPr>
          <w:rFonts w:cs="Arial"/>
          <w:szCs w:val="24"/>
        </w:rPr>
        <w:t>he condition profile</w:t>
      </w:r>
      <w:r w:rsidR="005E75DF" w:rsidRPr="00EA6639">
        <w:rPr>
          <w:rFonts w:cs="Arial"/>
          <w:szCs w:val="24"/>
        </w:rPr>
        <w:t xml:space="preserve"> for footpaths </w:t>
      </w:r>
      <w:r w:rsidR="001D08C6">
        <w:rPr>
          <w:rFonts w:cs="Arial"/>
          <w:szCs w:val="24"/>
        </w:rPr>
        <w:t>is sho</w:t>
      </w:r>
      <w:r w:rsidR="005E75DF" w:rsidRPr="00EA6639">
        <w:rPr>
          <w:rFonts w:cs="Arial"/>
          <w:szCs w:val="24"/>
        </w:rPr>
        <w:t xml:space="preserve">wn </w:t>
      </w:r>
      <w:r w:rsidR="001D11EF">
        <w:rPr>
          <w:rFonts w:cs="Arial"/>
          <w:szCs w:val="24"/>
        </w:rPr>
        <w:t xml:space="preserve">on </w:t>
      </w:r>
      <w:r w:rsidR="00B97F56">
        <w:rPr>
          <w:rFonts w:cs="Arial"/>
          <w:szCs w:val="24"/>
        </w:rPr>
        <w:t>Graph 5.1</w:t>
      </w:r>
      <w:r w:rsidR="001D11EF">
        <w:rPr>
          <w:rFonts w:cs="Arial"/>
          <w:szCs w:val="24"/>
        </w:rPr>
        <w:t xml:space="preserve"> </w:t>
      </w:r>
      <w:r w:rsidR="00367FA9">
        <w:rPr>
          <w:rFonts w:cs="Arial"/>
          <w:szCs w:val="24"/>
        </w:rPr>
        <w:t>2</w:t>
      </w:r>
      <w:r w:rsidR="009C39E0">
        <w:rPr>
          <w:rFonts w:cs="Arial"/>
          <w:szCs w:val="24"/>
        </w:rPr>
        <w:t>A</w:t>
      </w:r>
      <w:r w:rsidR="00B423A2">
        <w:rPr>
          <w:rFonts w:cs="Arial"/>
          <w:szCs w:val="24"/>
        </w:rPr>
        <w:t>.</w:t>
      </w:r>
    </w:p>
    <w:p w14:paraId="767C924B" w14:textId="248C49C9" w:rsidR="00140CAE" w:rsidRDefault="00140CAE" w:rsidP="00032DB0">
      <w:pPr>
        <w:pStyle w:val="BodyText"/>
        <w:spacing w:before="120"/>
        <w:jc w:val="left"/>
        <w:rPr>
          <w:rFonts w:cs="Arial"/>
          <w:szCs w:val="24"/>
        </w:rPr>
      </w:pPr>
    </w:p>
    <w:p w14:paraId="34F75C24" w14:textId="77777777" w:rsidR="00140CAE" w:rsidRDefault="00140CAE" w:rsidP="00032DB0">
      <w:pPr>
        <w:pStyle w:val="BodyText"/>
        <w:spacing w:before="120"/>
        <w:jc w:val="left"/>
        <w:rPr>
          <w:rFonts w:cs="Arial"/>
          <w:b/>
          <w:i/>
          <w:color w:val="0070C0"/>
          <w:szCs w:val="24"/>
        </w:rPr>
      </w:pPr>
    </w:p>
    <w:p w14:paraId="2D69E256" w14:textId="77777777" w:rsidR="003950C3" w:rsidRPr="00140CAE" w:rsidRDefault="003950C3" w:rsidP="00BF2B41">
      <w:pPr>
        <w:pStyle w:val="BodyText"/>
        <w:spacing w:before="120"/>
        <w:jc w:val="left"/>
        <w:rPr>
          <w:rFonts w:cs="Arial"/>
          <w:b/>
          <w:iCs/>
          <w:color w:val="0070C0"/>
          <w:szCs w:val="24"/>
        </w:rPr>
      </w:pPr>
    </w:p>
    <w:p w14:paraId="521CBF7A" w14:textId="77777777" w:rsidR="003402C4" w:rsidRPr="00140CAE" w:rsidRDefault="003950C3" w:rsidP="00BF2B41">
      <w:pPr>
        <w:keepNext/>
        <w:jc w:val="left"/>
        <w:rPr>
          <w:b/>
          <w:iCs/>
          <w:color w:val="0070C0"/>
          <w:szCs w:val="22"/>
        </w:rPr>
      </w:pPr>
      <w:r w:rsidRPr="00140CAE">
        <w:rPr>
          <w:b/>
          <w:iCs/>
          <w:color w:val="0070C0"/>
          <w:szCs w:val="22"/>
        </w:rPr>
        <w:lastRenderedPageBreak/>
        <w:t xml:space="preserve">Graph </w:t>
      </w:r>
      <w:r w:rsidR="005A6E55" w:rsidRPr="00140CAE">
        <w:rPr>
          <w:b/>
          <w:iCs/>
          <w:color w:val="0070C0"/>
          <w:szCs w:val="22"/>
        </w:rPr>
        <w:t>5.1.2A Condition</w:t>
      </w:r>
      <w:r w:rsidR="003402C4" w:rsidRPr="00140CAE">
        <w:rPr>
          <w:b/>
          <w:iCs/>
          <w:color w:val="0070C0"/>
          <w:szCs w:val="22"/>
        </w:rPr>
        <w:t xml:space="preserve"> Profile </w:t>
      </w:r>
      <w:r w:rsidR="00CD6966" w:rsidRPr="00140CAE">
        <w:rPr>
          <w:b/>
          <w:iCs/>
          <w:color w:val="0070C0"/>
          <w:szCs w:val="22"/>
        </w:rPr>
        <w:t xml:space="preserve">for </w:t>
      </w:r>
      <w:r w:rsidR="003402C4" w:rsidRPr="00140CAE">
        <w:rPr>
          <w:b/>
          <w:iCs/>
          <w:color w:val="0070C0"/>
          <w:szCs w:val="22"/>
        </w:rPr>
        <w:t>Footpaths</w:t>
      </w:r>
      <w:r w:rsidR="00184633" w:rsidRPr="00140CAE">
        <w:rPr>
          <w:b/>
          <w:iCs/>
          <w:color w:val="0070C0"/>
          <w:szCs w:val="22"/>
        </w:rPr>
        <w:t xml:space="preserve"> </w:t>
      </w:r>
    </w:p>
    <w:p w14:paraId="33EA9B0A" w14:textId="77777777" w:rsidR="00B82494" w:rsidRDefault="007C0A19" w:rsidP="001D11EF">
      <w:pPr>
        <w:pStyle w:val="BodyText"/>
        <w:tabs>
          <w:tab w:val="left" w:pos="851"/>
        </w:tabs>
        <w:jc w:val="left"/>
        <w:rPr>
          <w:rFonts w:cs="Arial"/>
          <w:b/>
          <w:i/>
          <w:color w:val="0070C0"/>
          <w:szCs w:val="24"/>
        </w:rPr>
      </w:pPr>
      <w:r>
        <w:rPr>
          <w:noProof/>
          <w:lang w:eastAsia="en-AU"/>
        </w:rPr>
        <w:drawing>
          <wp:inline distT="0" distB="0" distL="0" distR="0" wp14:anchorId="696447BD" wp14:editId="308CE3CE">
            <wp:extent cx="5732145" cy="4280034"/>
            <wp:effectExtent l="0" t="0" r="1905" b="635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4AA1CE" w14:textId="77777777" w:rsidR="00974390" w:rsidRPr="00616E47" w:rsidRDefault="00974390" w:rsidP="00DA4578">
      <w:pPr>
        <w:pStyle w:val="BodyText"/>
        <w:tabs>
          <w:tab w:val="left" w:pos="851"/>
        </w:tabs>
        <w:jc w:val="left"/>
        <w:rPr>
          <w:b/>
          <w:i/>
          <w:color w:val="4BACC6" w:themeColor="accent5"/>
          <w:szCs w:val="22"/>
        </w:rPr>
      </w:pPr>
      <w:r>
        <w:rPr>
          <w:rFonts w:cs="Arial"/>
          <w:szCs w:val="24"/>
        </w:rPr>
        <w:t>The following table shows the percentage breakdown across the condition ratings by area, both as a total and by asset category.</w:t>
      </w:r>
    </w:p>
    <w:p w14:paraId="2C2E2724" w14:textId="77777777" w:rsidR="003939A8" w:rsidRPr="00B423A2" w:rsidRDefault="008F4D7B" w:rsidP="00616E47">
      <w:pPr>
        <w:keepNext/>
        <w:rPr>
          <w:b/>
          <w:iCs/>
          <w:color w:val="0070C0"/>
          <w:szCs w:val="22"/>
        </w:rPr>
      </w:pPr>
      <w:r w:rsidRPr="00B423A2">
        <w:rPr>
          <w:b/>
          <w:iCs/>
          <w:color w:val="0070C0"/>
          <w:szCs w:val="22"/>
        </w:rPr>
        <w:t xml:space="preserve">Table </w:t>
      </w:r>
      <w:r w:rsidR="008F7F66" w:rsidRPr="00B423A2">
        <w:rPr>
          <w:b/>
          <w:iCs/>
          <w:color w:val="0070C0"/>
          <w:szCs w:val="22"/>
        </w:rPr>
        <w:t>5.1.2 Summary</w:t>
      </w:r>
      <w:r w:rsidR="00974390" w:rsidRPr="00B423A2">
        <w:rPr>
          <w:b/>
          <w:iCs/>
          <w:color w:val="0070C0"/>
          <w:szCs w:val="22"/>
        </w:rPr>
        <w:t xml:space="preserve"> of Footpath Condition</w:t>
      </w:r>
    </w:p>
    <w:tbl>
      <w:tblPr>
        <w:tblW w:w="5000" w:type="pct"/>
        <w:tblLook w:val="04A0" w:firstRow="1" w:lastRow="0" w:firstColumn="1" w:lastColumn="0" w:noHBand="0" w:noVBand="1"/>
      </w:tblPr>
      <w:tblGrid>
        <w:gridCol w:w="2310"/>
        <w:gridCol w:w="2311"/>
        <w:gridCol w:w="2311"/>
        <w:gridCol w:w="2311"/>
      </w:tblGrid>
      <w:tr w:rsidR="008F4D7B" w:rsidRPr="008F4D7B" w14:paraId="4060AA66" w14:textId="77777777" w:rsidTr="001D2B9C">
        <w:trPr>
          <w:trHeight w:val="600"/>
        </w:trPr>
        <w:tc>
          <w:tcPr>
            <w:tcW w:w="1250" w:type="pct"/>
            <w:tcBorders>
              <w:top w:val="single" w:sz="8" w:space="0" w:color="auto"/>
              <w:left w:val="single" w:sz="8" w:space="0" w:color="auto"/>
              <w:bottom w:val="thinThickSmallGap" w:sz="24" w:space="0" w:color="auto"/>
              <w:right w:val="single" w:sz="8" w:space="0" w:color="FFFFFF"/>
            </w:tcBorders>
            <w:shd w:val="clear" w:color="000000" w:fill="4BACC6"/>
            <w:noWrap/>
            <w:vAlign w:val="center"/>
            <w:hideMark/>
          </w:tcPr>
          <w:p w14:paraId="01A0589D"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CONDITION</w:t>
            </w:r>
          </w:p>
        </w:tc>
        <w:tc>
          <w:tcPr>
            <w:tcW w:w="1250" w:type="pct"/>
            <w:tcBorders>
              <w:top w:val="single" w:sz="8" w:space="0" w:color="auto"/>
              <w:left w:val="nil"/>
              <w:bottom w:val="thinThickSmallGap" w:sz="24" w:space="0" w:color="auto"/>
              <w:right w:val="single" w:sz="8" w:space="0" w:color="FFFFFF"/>
            </w:tcBorders>
            <w:shd w:val="clear" w:color="000000" w:fill="4BACC6"/>
            <w:vAlign w:val="center"/>
            <w:hideMark/>
          </w:tcPr>
          <w:p w14:paraId="7F742BEA"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Total</w:t>
            </w:r>
          </w:p>
        </w:tc>
        <w:tc>
          <w:tcPr>
            <w:tcW w:w="1250" w:type="pct"/>
            <w:tcBorders>
              <w:top w:val="single" w:sz="8" w:space="0" w:color="auto"/>
              <w:left w:val="nil"/>
              <w:bottom w:val="thinThickSmallGap" w:sz="24" w:space="0" w:color="auto"/>
              <w:right w:val="single" w:sz="8" w:space="0" w:color="FFFFFF"/>
            </w:tcBorders>
            <w:shd w:val="clear" w:color="000000" w:fill="4BACC6"/>
            <w:noWrap/>
            <w:vAlign w:val="center"/>
            <w:hideMark/>
          </w:tcPr>
          <w:p w14:paraId="26C5A8A5"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Roads</w:t>
            </w:r>
          </w:p>
        </w:tc>
        <w:tc>
          <w:tcPr>
            <w:tcW w:w="1250" w:type="pct"/>
            <w:tcBorders>
              <w:top w:val="single" w:sz="8" w:space="0" w:color="auto"/>
              <w:left w:val="nil"/>
              <w:bottom w:val="thinThickSmallGap" w:sz="24" w:space="0" w:color="auto"/>
              <w:right w:val="single" w:sz="8" w:space="0" w:color="auto"/>
            </w:tcBorders>
            <w:shd w:val="clear" w:color="000000" w:fill="4BACC6"/>
            <w:noWrap/>
            <w:vAlign w:val="center"/>
            <w:hideMark/>
          </w:tcPr>
          <w:p w14:paraId="07E391E5"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Parks</w:t>
            </w:r>
          </w:p>
        </w:tc>
      </w:tr>
      <w:tr w:rsidR="008F4D7B" w:rsidRPr="008F4D7B" w14:paraId="37D4AA64" w14:textId="77777777" w:rsidTr="001D2B9C">
        <w:trPr>
          <w:trHeight w:val="600"/>
        </w:trPr>
        <w:tc>
          <w:tcPr>
            <w:tcW w:w="1250" w:type="pct"/>
            <w:tcBorders>
              <w:top w:val="thinThickSmallGap" w:sz="24" w:space="0" w:color="auto"/>
              <w:left w:val="single" w:sz="8" w:space="0" w:color="auto"/>
              <w:bottom w:val="single" w:sz="8" w:space="0" w:color="FFFFFF"/>
              <w:right w:val="thinThickSmallGap" w:sz="24" w:space="0" w:color="auto"/>
            </w:tcBorders>
            <w:shd w:val="clear" w:color="000000" w:fill="4BACC6"/>
            <w:noWrap/>
            <w:vAlign w:val="center"/>
            <w:hideMark/>
          </w:tcPr>
          <w:p w14:paraId="5775EB56"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1</w:t>
            </w:r>
          </w:p>
        </w:tc>
        <w:tc>
          <w:tcPr>
            <w:tcW w:w="1250" w:type="pct"/>
            <w:tcBorders>
              <w:top w:val="thinThickSmallGap" w:sz="24" w:space="0" w:color="auto"/>
              <w:left w:val="thinThickSmallGap" w:sz="24" w:space="0" w:color="auto"/>
              <w:bottom w:val="single" w:sz="8" w:space="0" w:color="FFFFFF"/>
              <w:right w:val="single" w:sz="8" w:space="0" w:color="FFFFFF"/>
            </w:tcBorders>
            <w:shd w:val="clear" w:color="000000" w:fill="A5D5E2"/>
            <w:vAlign w:val="center"/>
            <w:hideMark/>
          </w:tcPr>
          <w:p w14:paraId="61D22BBD"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31.37%</w:t>
            </w:r>
          </w:p>
        </w:tc>
        <w:tc>
          <w:tcPr>
            <w:tcW w:w="1250" w:type="pct"/>
            <w:tcBorders>
              <w:top w:val="thinThickSmallGap" w:sz="24" w:space="0" w:color="auto"/>
              <w:left w:val="nil"/>
              <w:bottom w:val="single" w:sz="8" w:space="0" w:color="FFFFFF"/>
              <w:right w:val="single" w:sz="8" w:space="0" w:color="FFFFFF"/>
            </w:tcBorders>
            <w:shd w:val="clear" w:color="000000" w:fill="A5D5E2"/>
            <w:noWrap/>
            <w:vAlign w:val="center"/>
            <w:hideMark/>
          </w:tcPr>
          <w:p w14:paraId="56E4E845"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31.97%</w:t>
            </w:r>
          </w:p>
        </w:tc>
        <w:tc>
          <w:tcPr>
            <w:tcW w:w="1250" w:type="pct"/>
            <w:tcBorders>
              <w:top w:val="thinThickSmallGap" w:sz="24" w:space="0" w:color="auto"/>
              <w:left w:val="nil"/>
              <w:bottom w:val="single" w:sz="8" w:space="0" w:color="FFFFFF"/>
              <w:right w:val="single" w:sz="8" w:space="0" w:color="auto"/>
            </w:tcBorders>
            <w:shd w:val="clear" w:color="000000" w:fill="A5D5E2"/>
            <w:noWrap/>
            <w:vAlign w:val="center"/>
            <w:hideMark/>
          </w:tcPr>
          <w:p w14:paraId="26AF8D83"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28.44%</w:t>
            </w:r>
          </w:p>
        </w:tc>
      </w:tr>
      <w:tr w:rsidR="008F4D7B" w:rsidRPr="008F4D7B" w14:paraId="5B4B2B44" w14:textId="77777777" w:rsidTr="001D2B9C">
        <w:trPr>
          <w:trHeight w:val="600"/>
        </w:trPr>
        <w:tc>
          <w:tcPr>
            <w:tcW w:w="1250"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749982F6"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2</w:t>
            </w:r>
          </w:p>
        </w:tc>
        <w:tc>
          <w:tcPr>
            <w:tcW w:w="1250" w:type="pct"/>
            <w:tcBorders>
              <w:top w:val="nil"/>
              <w:left w:val="thinThickSmallGap" w:sz="24" w:space="0" w:color="auto"/>
              <w:bottom w:val="single" w:sz="8" w:space="0" w:color="FFFFFF"/>
              <w:right w:val="single" w:sz="8" w:space="0" w:color="FFFFFF"/>
            </w:tcBorders>
            <w:shd w:val="clear" w:color="000000" w:fill="D2EAF1"/>
            <w:vAlign w:val="center"/>
            <w:hideMark/>
          </w:tcPr>
          <w:p w14:paraId="4041FFE4"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41.91%</w:t>
            </w:r>
          </w:p>
        </w:tc>
        <w:tc>
          <w:tcPr>
            <w:tcW w:w="1250" w:type="pct"/>
            <w:tcBorders>
              <w:top w:val="nil"/>
              <w:left w:val="nil"/>
              <w:bottom w:val="single" w:sz="8" w:space="0" w:color="FFFFFF"/>
              <w:right w:val="single" w:sz="8" w:space="0" w:color="FFFFFF"/>
            </w:tcBorders>
            <w:shd w:val="clear" w:color="000000" w:fill="D2EAF1"/>
            <w:noWrap/>
            <w:vAlign w:val="center"/>
            <w:hideMark/>
          </w:tcPr>
          <w:p w14:paraId="3F02B6A7"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42.76%</w:t>
            </w:r>
          </w:p>
        </w:tc>
        <w:tc>
          <w:tcPr>
            <w:tcW w:w="1250" w:type="pct"/>
            <w:tcBorders>
              <w:top w:val="nil"/>
              <w:left w:val="nil"/>
              <w:bottom w:val="single" w:sz="8" w:space="0" w:color="FFFFFF"/>
              <w:right w:val="single" w:sz="8" w:space="0" w:color="auto"/>
            </w:tcBorders>
            <w:shd w:val="clear" w:color="000000" w:fill="D2EAF1"/>
            <w:noWrap/>
            <w:vAlign w:val="center"/>
            <w:hideMark/>
          </w:tcPr>
          <w:p w14:paraId="662602ED"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37.72%</w:t>
            </w:r>
          </w:p>
        </w:tc>
      </w:tr>
      <w:tr w:rsidR="008F4D7B" w:rsidRPr="008F4D7B" w14:paraId="21EB35F2" w14:textId="77777777" w:rsidTr="001D2B9C">
        <w:trPr>
          <w:trHeight w:val="600"/>
        </w:trPr>
        <w:tc>
          <w:tcPr>
            <w:tcW w:w="1250"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6DC7C27E"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3</w:t>
            </w:r>
          </w:p>
        </w:tc>
        <w:tc>
          <w:tcPr>
            <w:tcW w:w="1250" w:type="pct"/>
            <w:tcBorders>
              <w:top w:val="nil"/>
              <w:left w:val="thinThickSmallGap" w:sz="24" w:space="0" w:color="auto"/>
              <w:bottom w:val="single" w:sz="8" w:space="0" w:color="FFFFFF"/>
              <w:right w:val="single" w:sz="8" w:space="0" w:color="FFFFFF"/>
            </w:tcBorders>
            <w:shd w:val="clear" w:color="000000" w:fill="A5D5E2"/>
            <w:vAlign w:val="center"/>
            <w:hideMark/>
          </w:tcPr>
          <w:p w14:paraId="237D401B"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19.91%</w:t>
            </w:r>
          </w:p>
        </w:tc>
        <w:tc>
          <w:tcPr>
            <w:tcW w:w="1250" w:type="pct"/>
            <w:tcBorders>
              <w:top w:val="nil"/>
              <w:left w:val="nil"/>
              <w:bottom w:val="single" w:sz="8" w:space="0" w:color="FFFFFF"/>
              <w:right w:val="single" w:sz="8" w:space="0" w:color="FFFFFF"/>
            </w:tcBorders>
            <w:shd w:val="clear" w:color="000000" w:fill="A5D5E2"/>
            <w:noWrap/>
            <w:vAlign w:val="center"/>
            <w:hideMark/>
          </w:tcPr>
          <w:p w14:paraId="171107AE"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19.22%</w:t>
            </w:r>
          </w:p>
        </w:tc>
        <w:tc>
          <w:tcPr>
            <w:tcW w:w="1250" w:type="pct"/>
            <w:tcBorders>
              <w:top w:val="nil"/>
              <w:left w:val="nil"/>
              <w:bottom w:val="single" w:sz="8" w:space="0" w:color="FFFFFF"/>
              <w:right w:val="single" w:sz="8" w:space="0" w:color="auto"/>
            </w:tcBorders>
            <w:shd w:val="clear" w:color="000000" w:fill="A5D5E2"/>
            <w:noWrap/>
            <w:vAlign w:val="center"/>
            <w:hideMark/>
          </w:tcPr>
          <w:p w14:paraId="036056B6"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23.32%</w:t>
            </w:r>
          </w:p>
        </w:tc>
      </w:tr>
      <w:tr w:rsidR="008F4D7B" w:rsidRPr="008F4D7B" w14:paraId="29784CDC" w14:textId="77777777" w:rsidTr="001D2B9C">
        <w:trPr>
          <w:trHeight w:val="600"/>
        </w:trPr>
        <w:tc>
          <w:tcPr>
            <w:tcW w:w="1250"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578156BC"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4</w:t>
            </w:r>
          </w:p>
        </w:tc>
        <w:tc>
          <w:tcPr>
            <w:tcW w:w="1250" w:type="pct"/>
            <w:tcBorders>
              <w:top w:val="nil"/>
              <w:left w:val="thinThickSmallGap" w:sz="24" w:space="0" w:color="auto"/>
              <w:bottom w:val="single" w:sz="8" w:space="0" w:color="FFFFFF"/>
              <w:right w:val="single" w:sz="8" w:space="0" w:color="FFFFFF"/>
            </w:tcBorders>
            <w:shd w:val="clear" w:color="000000" w:fill="D2EAF1"/>
            <w:vAlign w:val="center"/>
            <w:hideMark/>
          </w:tcPr>
          <w:p w14:paraId="17E951A0"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5.40%</w:t>
            </w:r>
          </w:p>
        </w:tc>
        <w:tc>
          <w:tcPr>
            <w:tcW w:w="1250" w:type="pct"/>
            <w:tcBorders>
              <w:top w:val="nil"/>
              <w:left w:val="nil"/>
              <w:bottom w:val="single" w:sz="8" w:space="0" w:color="FFFFFF"/>
              <w:right w:val="single" w:sz="8" w:space="0" w:color="FFFFFF"/>
            </w:tcBorders>
            <w:shd w:val="clear" w:color="000000" w:fill="D2EAF1"/>
            <w:noWrap/>
            <w:vAlign w:val="center"/>
            <w:hideMark/>
          </w:tcPr>
          <w:p w14:paraId="6CED2D1B"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4.70%</w:t>
            </w:r>
          </w:p>
        </w:tc>
        <w:tc>
          <w:tcPr>
            <w:tcW w:w="1250" w:type="pct"/>
            <w:tcBorders>
              <w:top w:val="nil"/>
              <w:left w:val="nil"/>
              <w:bottom w:val="single" w:sz="8" w:space="0" w:color="FFFFFF"/>
              <w:right w:val="single" w:sz="8" w:space="0" w:color="auto"/>
            </w:tcBorders>
            <w:shd w:val="clear" w:color="000000" w:fill="D2EAF1"/>
            <w:noWrap/>
            <w:vAlign w:val="center"/>
            <w:hideMark/>
          </w:tcPr>
          <w:p w14:paraId="61E857AC"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8.84%</w:t>
            </w:r>
          </w:p>
        </w:tc>
      </w:tr>
      <w:tr w:rsidR="008F4D7B" w:rsidRPr="008F4D7B" w14:paraId="201EFCF4" w14:textId="77777777" w:rsidTr="001D2B9C">
        <w:trPr>
          <w:trHeight w:val="600"/>
        </w:trPr>
        <w:tc>
          <w:tcPr>
            <w:tcW w:w="1250" w:type="pct"/>
            <w:tcBorders>
              <w:top w:val="single" w:sz="8" w:space="0" w:color="FFFFFF"/>
              <w:left w:val="single" w:sz="8" w:space="0" w:color="auto"/>
              <w:bottom w:val="single" w:sz="8" w:space="0" w:color="auto"/>
              <w:right w:val="thinThickSmallGap" w:sz="24" w:space="0" w:color="auto"/>
            </w:tcBorders>
            <w:shd w:val="clear" w:color="000000" w:fill="4BACC6"/>
            <w:noWrap/>
            <w:vAlign w:val="center"/>
            <w:hideMark/>
          </w:tcPr>
          <w:p w14:paraId="07295291" w14:textId="77777777" w:rsidR="008F4D7B" w:rsidRPr="008F4D7B" w:rsidRDefault="008F4D7B" w:rsidP="008F4D7B">
            <w:pPr>
              <w:spacing w:after="0"/>
              <w:jc w:val="center"/>
              <w:rPr>
                <w:rFonts w:ascii="Arial Narrow" w:hAnsi="Arial Narrow"/>
                <w:b/>
                <w:bCs/>
                <w:color w:val="FFFFFF"/>
                <w:szCs w:val="24"/>
                <w:lang w:eastAsia="en-AU"/>
              </w:rPr>
            </w:pPr>
            <w:r w:rsidRPr="008F4D7B">
              <w:rPr>
                <w:rFonts w:ascii="Arial Narrow" w:hAnsi="Arial Narrow"/>
                <w:b/>
                <w:bCs/>
                <w:color w:val="FFFFFF"/>
                <w:szCs w:val="24"/>
                <w:lang w:eastAsia="en-AU"/>
              </w:rPr>
              <w:t>5</w:t>
            </w:r>
          </w:p>
        </w:tc>
        <w:tc>
          <w:tcPr>
            <w:tcW w:w="1250" w:type="pct"/>
            <w:tcBorders>
              <w:top w:val="nil"/>
              <w:left w:val="thinThickSmallGap" w:sz="24" w:space="0" w:color="auto"/>
              <w:bottom w:val="single" w:sz="8" w:space="0" w:color="auto"/>
              <w:right w:val="single" w:sz="8" w:space="0" w:color="FFFFFF"/>
            </w:tcBorders>
            <w:shd w:val="clear" w:color="000000" w:fill="A5D5E2"/>
            <w:vAlign w:val="center"/>
            <w:hideMark/>
          </w:tcPr>
          <w:p w14:paraId="57513275"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1.41%</w:t>
            </w:r>
          </w:p>
        </w:tc>
        <w:tc>
          <w:tcPr>
            <w:tcW w:w="1250" w:type="pct"/>
            <w:tcBorders>
              <w:top w:val="nil"/>
              <w:left w:val="nil"/>
              <w:bottom w:val="single" w:sz="8" w:space="0" w:color="auto"/>
              <w:right w:val="single" w:sz="8" w:space="0" w:color="FFFFFF"/>
            </w:tcBorders>
            <w:shd w:val="clear" w:color="000000" w:fill="A5D5E2"/>
            <w:noWrap/>
            <w:vAlign w:val="center"/>
            <w:hideMark/>
          </w:tcPr>
          <w:p w14:paraId="61098BAB"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1.36%</w:t>
            </w:r>
          </w:p>
        </w:tc>
        <w:tc>
          <w:tcPr>
            <w:tcW w:w="1250" w:type="pct"/>
            <w:tcBorders>
              <w:top w:val="nil"/>
              <w:left w:val="nil"/>
              <w:bottom w:val="single" w:sz="8" w:space="0" w:color="auto"/>
              <w:right w:val="single" w:sz="8" w:space="0" w:color="auto"/>
            </w:tcBorders>
            <w:shd w:val="clear" w:color="auto" w:fill="B6DDE8" w:themeFill="accent5" w:themeFillTint="66"/>
            <w:noWrap/>
            <w:vAlign w:val="center"/>
            <w:hideMark/>
          </w:tcPr>
          <w:p w14:paraId="463FFECE" w14:textId="77777777" w:rsidR="008F4D7B" w:rsidRPr="008F4D7B" w:rsidRDefault="008F4D7B" w:rsidP="008F4D7B">
            <w:pPr>
              <w:spacing w:after="0"/>
              <w:jc w:val="center"/>
              <w:rPr>
                <w:rFonts w:ascii="Arial Narrow" w:hAnsi="Arial Narrow"/>
                <w:color w:val="000000"/>
                <w:szCs w:val="24"/>
                <w:lang w:eastAsia="en-AU"/>
              </w:rPr>
            </w:pPr>
            <w:r w:rsidRPr="008F4D7B">
              <w:rPr>
                <w:rFonts w:ascii="Arial Narrow" w:hAnsi="Arial Narrow"/>
                <w:color w:val="000000"/>
                <w:szCs w:val="24"/>
                <w:lang w:eastAsia="en-AU"/>
              </w:rPr>
              <w:t>1.68%</w:t>
            </w:r>
          </w:p>
        </w:tc>
      </w:tr>
      <w:tr w:rsidR="008F4D7B" w:rsidRPr="008F4D7B" w14:paraId="627DA430" w14:textId="77777777" w:rsidTr="001D2B9C">
        <w:trPr>
          <w:trHeight w:val="600"/>
        </w:trPr>
        <w:tc>
          <w:tcPr>
            <w:tcW w:w="1250" w:type="pct"/>
            <w:tcBorders>
              <w:top w:val="single" w:sz="8" w:space="0" w:color="auto"/>
              <w:left w:val="single" w:sz="8" w:space="0" w:color="auto"/>
              <w:bottom w:val="single" w:sz="8" w:space="0" w:color="auto"/>
              <w:right w:val="single" w:sz="12" w:space="0" w:color="FFFFFF"/>
            </w:tcBorders>
            <w:shd w:val="clear" w:color="auto" w:fill="auto"/>
            <w:noWrap/>
            <w:hideMark/>
          </w:tcPr>
          <w:p w14:paraId="5FDAE77E" w14:textId="77777777" w:rsidR="008F4D7B" w:rsidRPr="001D2B9C" w:rsidRDefault="008F4D7B" w:rsidP="008F4D7B">
            <w:pPr>
              <w:spacing w:after="0"/>
              <w:jc w:val="left"/>
              <w:rPr>
                <w:rFonts w:ascii="Times New Roman" w:hAnsi="Times New Roman"/>
                <w:b/>
                <w:color w:val="000000"/>
                <w:sz w:val="20"/>
                <w:lang w:eastAsia="en-AU"/>
              </w:rPr>
            </w:pPr>
          </w:p>
        </w:tc>
        <w:tc>
          <w:tcPr>
            <w:tcW w:w="1250" w:type="pct"/>
            <w:tcBorders>
              <w:top w:val="single" w:sz="8" w:space="0" w:color="auto"/>
              <w:left w:val="nil"/>
              <w:bottom w:val="single" w:sz="8" w:space="0" w:color="auto"/>
              <w:right w:val="single" w:sz="8" w:space="0" w:color="FFFFFF"/>
            </w:tcBorders>
            <w:shd w:val="clear" w:color="auto" w:fill="auto"/>
            <w:vAlign w:val="center"/>
            <w:hideMark/>
          </w:tcPr>
          <w:p w14:paraId="6BEFB838" w14:textId="77777777" w:rsidR="008F4D7B" w:rsidRPr="001D2B9C" w:rsidRDefault="008F4D7B" w:rsidP="008F4D7B">
            <w:pPr>
              <w:spacing w:after="0"/>
              <w:jc w:val="center"/>
              <w:rPr>
                <w:rFonts w:ascii="Arial Narrow" w:hAnsi="Arial Narrow"/>
                <w:b/>
                <w:color w:val="000000"/>
                <w:szCs w:val="24"/>
                <w:lang w:eastAsia="en-AU"/>
              </w:rPr>
            </w:pPr>
            <w:r w:rsidRPr="001D2B9C">
              <w:rPr>
                <w:rFonts w:ascii="Arial Narrow" w:hAnsi="Arial Narrow"/>
                <w:b/>
                <w:color w:val="000000"/>
                <w:szCs w:val="24"/>
                <w:lang w:eastAsia="en-AU"/>
              </w:rPr>
              <w:t>100.00%</w:t>
            </w:r>
          </w:p>
        </w:tc>
        <w:tc>
          <w:tcPr>
            <w:tcW w:w="1250" w:type="pct"/>
            <w:tcBorders>
              <w:top w:val="single" w:sz="8" w:space="0" w:color="auto"/>
              <w:left w:val="nil"/>
              <w:bottom w:val="single" w:sz="8" w:space="0" w:color="auto"/>
              <w:right w:val="single" w:sz="8" w:space="0" w:color="FFFFFF"/>
            </w:tcBorders>
            <w:shd w:val="clear" w:color="auto" w:fill="auto"/>
            <w:vAlign w:val="center"/>
            <w:hideMark/>
          </w:tcPr>
          <w:p w14:paraId="667B2850" w14:textId="77777777" w:rsidR="008F4D7B" w:rsidRPr="001D2B9C" w:rsidRDefault="008F4D7B" w:rsidP="008F4D7B">
            <w:pPr>
              <w:spacing w:after="0"/>
              <w:jc w:val="center"/>
              <w:rPr>
                <w:rFonts w:ascii="Arial Narrow" w:hAnsi="Arial Narrow"/>
                <w:b/>
                <w:color w:val="000000"/>
                <w:szCs w:val="24"/>
                <w:lang w:eastAsia="en-AU"/>
              </w:rPr>
            </w:pPr>
            <w:r w:rsidRPr="001D2B9C">
              <w:rPr>
                <w:rFonts w:ascii="Arial Narrow" w:hAnsi="Arial Narrow"/>
                <w:b/>
                <w:color w:val="000000"/>
                <w:szCs w:val="24"/>
                <w:lang w:eastAsia="en-AU"/>
              </w:rPr>
              <w:t>100.00%</w:t>
            </w:r>
          </w:p>
        </w:tc>
        <w:tc>
          <w:tcPr>
            <w:tcW w:w="1250" w:type="pct"/>
            <w:tcBorders>
              <w:top w:val="single" w:sz="8" w:space="0" w:color="auto"/>
              <w:left w:val="nil"/>
              <w:bottom w:val="single" w:sz="8" w:space="0" w:color="auto"/>
              <w:right w:val="single" w:sz="8" w:space="0" w:color="auto"/>
            </w:tcBorders>
            <w:shd w:val="clear" w:color="auto" w:fill="auto"/>
            <w:vAlign w:val="center"/>
            <w:hideMark/>
          </w:tcPr>
          <w:p w14:paraId="1DC67B87" w14:textId="77777777" w:rsidR="008F4D7B" w:rsidRPr="001D2B9C" w:rsidRDefault="008F4D7B" w:rsidP="008F4D7B">
            <w:pPr>
              <w:spacing w:after="0"/>
              <w:jc w:val="center"/>
              <w:rPr>
                <w:rFonts w:ascii="Arial Narrow" w:hAnsi="Arial Narrow"/>
                <w:b/>
                <w:color w:val="000000"/>
                <w:szCs w:val="24"/>
                <w:lang w:eastAsia="en-AU"/>
              </w:rPr>
            </w:pPr>
            <w:r w:rsidRPr="001D2B9C">
              <w:rPr>
                <w:rFonts w:ascii="Arial Narrow" w:hAnsi="Arial Narrow"/>
                <w:b/>
                <w:color w:val="000000"/>
                <w:szCs w:val="24"/>
                <w:lang w:eastAsia="en-AU"/>
              </w:rPr>
              <w:t>100.00%</w:t>
            </w:r>
          </w:p>
        </w:tc>
      </w:tr>
    </w:tbl>
    <w:p w14:paraId="09109D7B" w14:textId="77777777" w:rsidR="001F45D1" w:rsidRDefault="001F45D1" w:rsidP="00EF6DD6">
      <w:pPr>
        <w:pStyle w:val="BodyText"/>
        <w:tabs>
          <w:tab w:val="left" w:pos="851"/>
        </w:tabs>
        <w:spacing w:after="120"/>
        <w:jc w:val="center"/>
        <w:rPr>
          <w:rFonts w:cs="Arial"/>
          <w:b/>
          <w:i/>
          <w:color w:val="0070C0"/>
          <w:szCs w:val="24"/>
        </w:rPr>
      </w:pPr>
    </w:p>
    <w:p w14:paraId="5D763B91" w14:textId="77777777" w:rsidR="001D08C6" w:rsidRDefault="009718E5" w:rsidP="001D08C6">
      <w:pPr>
        <w:pStyle w:val="BodyText"/>
        <w:tabs>
          <w:tab w:val="left" w:pos="851"/>
        </w:tabs>
        <w:spacing w:after="120"/>
        <w:jc w:val="left"/>
        <w:rPr>
          <w:rFonts w:cs="Arial"/>
          <w:szCs w:val="24"/>
        </w:rPr>
      </w:pPr>
      <w:r>
        <w:rPr>
          <w:rFonts w:cs="Arial"/>
          <w:szCs w:val="24"/>
        </w:rPr>
        <w:lastRenderedPageBreak/>
        <w:t>Graph 5.1.</w:t>
      </w:r>
      <w:r w:rsidR="00367FA9">
        <w:rPr>
          <w:rFonts w:cs="Arial"/>
          <w:szCs w:val="24"/>
        </w:rPr>
        <w:t>2</w:t>
      </w:r>
      <w:r>
        <w:rPr>
          <w:rFonts w:cs="Arial"/>
          <w:szCs w:val="24"/>
        </w:rPr>
        <w:t>B</w:t>
      </w:r>
      <w:r w:rsidR="001D08C6">
        <w:rPr>
          <w:rFonts w:cs="Arial"/>
          <w:szCs w:val="24"/>
        </w:rPr>
        <w:t xml:space="preserve"> below shows the breakdown of footpath condition by suburb.</w:t>
      </w:r>
    </w:p>
    <w:p w14:paraId="1BD8193F" w14:textId="24AAF29C" w:rsidR="001D08C6" w:rsidRPr="00B423A2" w:rsidRDefault="003735BB" w:rsidP="00616E47">
      <w:pPr>
        <w:keepNext/>
        <w:rPr>
          <w:b/>
          <w:iCs/>
          <w:color w:val="0070C0"/>
          <w:szCs w:val="22"/>
        </w:rPr>
      </w:pPr>
      <w:r w:rsidRPr="00B423A2">
        <w:rPr>
          <w:b/>
          <w:iCs/>
          <w:color w:val="0070C0"/>
          <w:szCs w:val="22"/>
        </w:rPr>
        <w:t xml:space="preserve">Graph </w:t>
      </w:r>
      <w:proofErr w:type="gramStart"/>
      <w:r w:rsidRPr="00B423A2">
        <w:rPr>
          <w:b/>
          <w:iCs/>
          <w:color w:val="0070C0"/>
          <w:szCs w:val="22"/>
        </w:rPr>
        <w:t>5.1.</w:t>
      </w:r>
      <w:r w:rsidR="00367FA9" w:rsidRPr="00B423A2">
        <w:rPr>
          <w:b/>
          <w:iCs/>
          <w:color w:val="0070C0"/>
          <w:szCs w:val="22"/>
        </w:rPr>
        <w:t>2</w:t>
      </w:r>
      <w:r w:rsidRPr="00B423A2">
        <w:rPr>
          <w:b/>
          <w:iCs/>
          <w:color w:val="0070C0"/>
          <w:szCs w:val="22"/>
        </w:rPr>
        <w:t xml:space="preserve">B  </w:t>
      </w:r>
      <w:r w:rsidR="001D08C6" w:rsidRPr="00B423A2">
        <w:rPr>
          <w:b/>
          <w:iCs/>
          <w:color w:val="0070C0"/>
          <w:szCs w:val="22"/>
        </w:rPr>
        <w:t>Condition</w:t>
      </w:r>
      <w:proofErr w:type="gramEnd"/>
      <w:r w:rsidR="001D08C6" w:rsidRPr="00B423A2">
        <w:rPr>
          <w:b/>
          <w:iCs/>
          <w:color w:val="0070C0"/>
          <w:szCs w:val="22"/>
        </w:rPr>
        <w:t xml:space="preserve"> Profile – Footpaths by Suburb</w:t>
      </w:r>
      <w:r w:rsidR="00184633" w:rsidRPr="00B423A2">
        <w:rPr>
          <w:b/>
          <w:iCs/>
          <w:color w:val="0070C0"/>
          <w:szCs w:val="22"/>
        </w:rPr>
        <w:t xml:space="preserve"> </w:t>
      </w:r>
      <w:r w:rsidR="00B82494" w:rsidRPr="00B423A2" w:rsidDel="00183325">
        <w:rPr>
          <w:b/>
          <w:iCs/>
          <w:color w:val="0070C0"/>
          <w:szCs w:val="22"/>
        </w:rPr>
        <w:t xml:space="preserve"> </w:t>
      </w:r>
    </w:p>
    <w:p w14:paraId="4C4D4B1F" w14:textId="77777777" w:rsidR="001D08C6" w:rsidRDefault="00004027" w:rsidP="00EF6DD6">
      <w:pPr>
        <w:pStyle w:val="BodyText"/>
        <w:tabs>
          <w:tab w:val="left" w:pos="851"/>
        </w:tabs>
        <w:spacing w:after="120"/>
        <w:jc w:val="center"/>
        <w:rPr>
          <w:rFonts w:cs="Arial"/>
          <w:b/>
          <w:i/>
          <w:color w:val="0070C0"/>
          <w:szCs w:val="24"/>
        </w:rPr>
      </w:pPr>
      <w:r>
        <w:rPr>
          <w:noProof/>
          <w:lang w:eastAsia="en-AU"/>
        </w:rPr>
        <w:drawing>
          <wp:inline distT="0" distB="0" distL="0" distR="0" wp14:anchorId="588FA67B" wp14:editId="19F28EE2">
            <wp:extent cx="5723906" cy="6068291"/>
            <wp:effectExtent l="0" t="0" r="10160" b="279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47B7CE" w14:textId="77777777" w:rsidR="002C355B" w:rsidRDefault="002C355B">
      <w:pPr>
        <w:spacing w:after="0"/>
        <w:jc w:val="left"/>
        <w:rPr>
          <w:rFonts w:cs="Arial"/>
          <w:bCs/>
          <w:color w:val="0070C0"/>
          <w:szCs w:val="26"/>
        </w:rPr>
      </w:pPr>
      <w:r>
        <w:br w:type="page"/>
      </w:r>
    </w:p>
    <w:p w14:paraId="766347FA" w14:textId="77777777" w:rsidR="00E37439" w:rsidRPr="00B423A2" w:rsidRDefault="009F6401" w:rsidP="009F6401">
      <w:pPr>
        <w:pStyle w:val="Heading3"/>
        <w:rPr>
          <w:iCs/>
          <w:color w:val="0070C0"/>
        </w:rPr>
      </w:pPr>
      <w:bookmarkStart w:id="31" w:name="_Toc56419070"/>
      <w:r w:rsidRPr="00B423A2">
        <w:rPr>
          <w:iCs/>
          <w:color w:val="0070C0"/>
        </w:rPr>
        <w:lastRenderedPageBreak/>
        <w:t>5.1.3</w:t>
      </w:r>
      <w:r w:rsidRPr="00B423A2">
        <w:rPr>
          <w:iCs/>
          <w:color w:val="0070C0"/>
        </w:rPr>
        <w:tab/>
        <w:t>Useful life</w:t>
      </w:r>
      <w:bookmarkEnd w:id="31"/>
    </w:p>
    <w:p w14:paraId="59CD4279" w14:textId="77777777" w:rsidR="009F6401" w:rsidRDefault="00FA7026" w:rsidP="006A1785">
      <w:r>
        <w:t xml:space="preserve">Based on </w:t>
      </w:r>
      <w:r w:rsidR="004D5314">
        <w:t>the current depreciation rate</w:t>
      </w:r>
      <w:r w:rsidR="00687EB1">
        <w:t xml:space="preserve"> a useful life has been applied to each footpath by surface type. </w:t>
      </w:r>
    </w:p>
    <w:p w14:paraId="327BF127" w14:textId="77777777" w:rsidR="00AA1666" w:rsidRPr="00B423A2" w:rsidRDefault="00690C73" w:rsidP="00616E47">
      <w:pPr>
        <w:keepNext/>
        <w:rPr>
          <w:b/>
          <w:iCs/>
          <w:color w:val="0070C0"/>
          <w:szCs w:val="22"/>
        </w:rPr>
      </w:pPr>
      <w:r w:rsidRPr="00B423A2">
        <w:rPr>
          <w:b/>
          <w:iCs/>
          <w:color w:val="0070C0"/>
          <w:szCs w:val="22"/>
        </w:rPr>
        <w:t xml:space="preserve">Table 5.1.3A </w:t>
      </w:r>
      <w:r w:rsidRPr="00B423A2">
        <w:rPr>
          <w:b/>
          <w:iCs/>
          <w:color w:val="0070C0"/>
          <w:szCs w:val="22"/>
        </w:rPr>
        <w:tab/>
      </w:r>
      <w:r w:rsidR="000C3C26" w:rsidRPr="00B423A2">
        <w:rPr>
          <w:b/>
          <w:iCs/>
          <w:color w:val="0070C0"/>
          <w:szCs w:val="22"/>
        </w:rPr>
        <w:t>Footpath surface and useful life</w:t>
      </w:r>
    </w:p>
    <w:tbl>
      <w:tblPr>
        <w:tblW w:w="5000" w:type="pct"/>
        <w:tblLook w:val="04A0" w:firstRow="1" w:lastRow="0" w:firstColumn="1" w:lastColumn="0" w:noHBand="0" w:noVBand="1"/>
      </w:tblPr>
      <w:tblGrid>
        <w:gridCol w:w="1864"/>
        <w:gridCol w:w="2198"/>
        <w:gridCol w:w="1727"/>
        <w:gridCol w:w="1727"/>
        <w:gridCol w:w="1727"/>
      </w:tblGrid>
      <w:tr w:rsidR="00AA1666" w:rsidRPr="00AA1666" w14:paraId="45993F97" w14:textId="77777777" w:rsidTr="00DC3BEB">
        <w:trPr>
          <w:trHeight w:val="600"/>
        </w:trPr>
        <w:tc>
          <w:tcPr>
            <w:tcW w:w="1009" w:type="pct"/>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57DF2CCC" w14:textId="77777777" w:rsidR="00AA1666" w:rsidRPr="00AA1666" w:rsidRDefault="00AA1666" w:rsidP="00AA1666">
            <w:pPr>
              <w:spacing w:after="0"/>
              <w:jc w:val="center"/>
              <w:rPr>
                <w:rFonts w:ascii="Arial Narrow" w:hAnsi="Arial Narrow"/>
                <w:color w:val="FFFFFF"/>
                <w:szCs w:val="24"/>
                <w:lang w:eastAsia="en-AU"/>
              </w:rPr>
            </w:pPr>
            <w:r w:rsidRPr="00AA1666">
              <w:rPr>
                <w:rFonts w:ascii="Arial Narrow" w:hAnsi="Arial Narrow"/>
                <w:color w:val="FFFFFF"/>
                <w:szCs w:val="24"/>
                <w:lang w:eastAsia="en-AU"/>
              </w:rPr>
              <w:t>Surface material</w:t>
            </w:r>
          </w:p>
        </w:tc>
        <w:tc>
          <w:tcPr>
            <w:tcW w:w="1189" w:type="pct"/>
            <w:tcBorders>
              <w:top w:val="single" w:sz="8" w:space="0" w:color="auto"/>
              <w:left w:val="nil"/>
              <w:bottom w:val="thinThickSmallGap" w:sz="24" w:space="0" w:color="auto"/>
              <w:right w:val="single" w:sz="8" w:space="0" w:color="FFFFFF"/>
            </w:tcBorders>
            <w:shd w:val="clear" w:color="000000" w:fill="4BACC6"/>
            <w:vAlign w:val="center"/>
            <w:hideMark/>
          </w:tcPr>
          <w:p w14:paraId="27C680D4" w14:textId="77777777" w:rsidR="00AA1666" w:rsidRPr="00AA1666" w:rsidRDefault="00AA1666" w:rsidP="00AA1666">
            <w:pPr>
              <w:spacing w:after="0"/>
              <w:jc w:val="center"/>
              <w:rPr>
                <w:rFonts w:ascii="Arial Narrow" w:hAnsi="Arial Narrow"/>
                <w:color w:val="FFFFFF"/>
                <w:szCs w:val="24"/>
                <w:lang w:eastAsia="en-AU"/>
              </w:rPr>
            </w:pPr>
            <w:r w:rsidRPr="00AA1666">
              <w:rPr>
                <w:rFonts w:ascii="Arial Narrow" w:hAnsi="Arial Narrow"/>
                <w:color w:val="FFFFFF"/>
                <w:szCs w:val="24"/>
                <w:lang w:eastAsia="en-AU"/>
              </w:rPr>
              <w:t>Jurisdiction</w:t>
            </w:r>
          </w:p>
        </w:tc>
        <w:tc>
          <w:tcPr>
            <w:tcW w:w="934" w:type="pct"/>
            <w:tcBorders>
              <w:top w:val="single" w:sz="8" w:space="0" w:color="auto"/>
              <w:left w:val="nil"/>
              <w:bottom w:val="thinThickSmallGap" w:sz="24" w:space="0" w:color="auto"/>
              <w:right w:val="single" w:sz="8" w:space="0" w:color="FFFFFF"/>
            </w:tcBorders>
            <w:shd w:val="clear" w:color="000000" w:fill="4BACC6"/>
            <w:vAlign w:val="center"/>
            <w:hideMark/>
          </w:tcPr>
          <w:p w14:paraId="0548FC04" w14:textId="77777777" w:rsidR="00AA1666" w:rsidRPr="00AA1666" w:rsidRDefault="00AA1666" w:rsidP="00AA1666">
            <w:pPr>
              <w:spacing w:after="0"/>
              <w:jc w:val="center"/>
              <w:rPr>
                <w:rFonts w:ascii="Arial Narrow" w:hAnsi="Arial Narrow"/>
                <w:color w:val="FFFFFF"/>
                <w:szCs w:val="24"/>
                <w:lang w:eastAsia="en-AU"/>
              </w:rPr>
            </w:pPr>
            <w:r w:rsidRPr="00AA1666">
              <w:rPr>
                <w:rFonts w:ascii="Arial Narrow" w:hAnsi="Arial Narrow"/>
                <w:color w:val="FFFFFF"/>
                <w:szCs w:val="24"/>
                <w:lang w:eastAsia="en-AU"/>
              </w:rPr>
              <w:t>Length (km)</w:t>
            </w:r>
          </w:p>
        </w:tc>
        <w:tc>
          <w:tcPr>
            <w:tcW w:w="934" w:type="pct"/>
            <w:tcBorders>
              <w:top w:val="single" w:sz="8" w:space="0" w:color="auto"/>
              <w:left w:val="nil"/>
              <w:bottom w:val="thinThickSmallGap" w:sz="24" w:space="0" w:color="auto"/>
              <w:right w:val="single" w:sz="8" w:space="0" w:color="FFFFFF"/>
            </w:tcBorders>
            <w:shd w:val="clear" w:color="000000" w:fill="4BACC6"/>
            <w:vAlign w:val="center"/>
            <w:hideMark/>
          </w:tcPr>
          <w:p w14:paraId="5BF8E55E" w14:textId="77777777" w:rsidR="00AA1666" w:rsidRPr="00AA1666" w:rsidRDefault="00AA1666" w:rsidP="00AA1666">
            <w:pPr>
              <w:spacing w:after="0"/>
              <w:jc w:val="center"/>
              <w:rPr>
                <w:rFonts w:ascii="Arial Narrow" w:hAnsi="Arial Narrow"/>
                <w:color w:val="FFFFFF"/>
                <w:szCs w:val="24"/>
                <w:lang w:eastAsia="en-AU"/>
              </w:rPr>
            </w:pPr>
            <w:r w:rsidRPr="00AA1666">
              <w:rPr>
                <w:rFonts w:ascii="Arial Narrow" w:hAnsi="Arial Narrow"/>
                <w:color w:val="FFFFFF"/>
                <w:szCs w:val="24"/>
                <w:lang w:eastAsia="en-AU"/>
              </w:rPr>
              <w:t>Area (m²)</w:t>
            </w:r>
          </w:p>
        </w:tc>
        <w:tc>
          <w:tcPr>
            <w:tcW w:w="934" w:type="pct"/>
            <w:tcBorders>
              <w:top w:val="single" w:sz="8" w:space="0" w:color="auto"/>
              <w:left w:val="nil"/>
              <w:bottom w:val="thinThickSmallGap" w:sz="24" w:space="0" w:color="auto"/>
              <w:right w:val="single" w:sz="8" w:space="0" w:color="auto"/>
            </w:tcBorders>
            <w:shd w:val="clear" w:color="000000" w:fill="4BACC6"/>
            <w:vAlign w:val="center"/>
            <w:hideMark/>
          </w:tcPr>
          <w:p w14:paraId="76841EA9" w14:textId="77777777" w:rsidR="00AA1666" w:rsidRPr="00AA1666" w:rsidRDefault="00AA1666" w:rsidP="00AA1666">
            <w:pPr>
              <w:spacing w:after="0"/>
              <w:jc w:val="center"/>
              <w:rPr>
                <w:rFonts w:ascii="Arial Narrow" w:hAnsi="Arial Narrow"/>
                <w:color w:val="FFFFFF"/>
                <w:szCs w:val="24"/>
                <w:lang w:eastAsia="en-AU"/>
              </w:rPr>
            </w:pPr>
            <w:r w:rsidRPr="00AA1666">
              <w:rPr>
                <w:rFonts w:ascii="Arial Narrow" w:hAnsi="Arial Narrow"/>
                <w:color w:val="FFFFFF"/>
                <w:szCs w:val="24"/>
                <w:lang w:eastAsia="en-AU"/>
              </w:rPr>
              <w:t>Useful Life</w:t>
            </w:r>
          </w:p>
        </w:tc>
      </w:tr>
      <w:tr w:rsidR="00AA1666" w:rsidRPr="00AA1666" w14:paraId="0DF55E72" w14:textId="77777777" w:rsidTr="00DC3BEB">
        <w:trPr>
          <w:trHeight w:val="600"/>
        </w:trPr>
        <w:tc>
          <w:tcPr>
            <w:tcW w:w="1009" w:type="pct"/>
            <w:vMerge w:val="restart"/>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232969FC" w14:textId="77777777" w:rsidR="00AA1666" w:rsidRPr="00AA1666" w:rsidRDefault="00AA1666" w:rsidP="00AA1666">
            <w:pPr>
              <w:spacing w:after="0"/>
              <w:jc w:val="center"/>
              <w:rPr>
                <w:rFonts w:ascii="Arial Narrow" w:hAnsi="Arial Narrow"/>
                <w:b/>
                <w:bCs/>
                <w:color w:val="FFFFFF"/>
                <w:szCs w:val="24"/>
                <w:lang w:eastAsia="en-AU"/>
              </w:rPr>
            </w:pPr>
            <w:r w:rsidRPr="00AA1666">
              <w:rPr>
                <w:rFonts w:ascii="Arial Narrow" w:hAnsi="Arial Narrow"/>
                <w:b/>
                <w:bCs/>
                <w:color w:val="FFFFFF"/>
                <w:szCs w:val="24"/>
                <w:lang w:eastAsia="en-AU"/>
              </w:rPr>
              <w:t>Asphalt</w:t>
            </w:r>
          </w:p>
        </w:tc>
        <w:tc>
          <w:tcPr>
            <w:tcW w:w="1189" w:type="pct"/>
            <w:tcBorders>
              <w:top w:val="thinThickSmallGap" w:sz="24" w:space="0" w:color="auto"/>
              <w:left w:val="thinThickSmallGap" w:sz="24" w:space="0" w:color="auto"/>
              <w:bottom w:val="single" w:sz="8" w:space="0" w:color="FFFFFF"/>
              <w:right w:val="single" w:sz="8" w:space="0" w:color="FFFFFF"/>
            </w:tcBorders>
            <w:shd w:val="clear" w:color="000000" w:fill="A5D5E2"/>
            <w:vAlign w:val="center"/>
            <w:hideMark/>
          </w:tcPr>
          <w:p w14:paraId="06D3B221"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Parks</w:t>
            </w:r>
          </w:p>
        </w:tc>
        <w:tc>
          <w:tcPr>
            <w:tcW w:w="934" w:type="pct"/>
            <w:tcBorders>
              <w:top w:val="thinThickSmallGap" w:sz="24" w:space="0" w:color="auto"/>
              <w:left w:val="nil"/>
              <w:bottom w:val="single" w:sz="8" w:space="0" w:color="FFFFFF"/>
              <w:right w:val="single" w:sz="8" w:space="0" w:color="FFFFFF"/>
            </w:tcBorders>
            <w:shd w:val="clear" w:color="000000" w:fill="A5D5E2"/>
            <w:vAlign w:val="center"/>
            <w:hideMark/>
          </w:tcPr>
          <w:p w14:paraId="02655DB4"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38.95</w:t>
            </w:r>
          </w:p>
        </w:tc>
        <w:tc>
          <w:tcPr>
            <w:tcW w:w="934" w:type="pct"/>
            <w:tcBorders>
              <w:top w:val="thinThickSmallGap" w:sz="24" w:space="0" w:color="auto"/>
              <w:left w:val="nil"/>
              <w:bottom w:val="single" w:sz="8" w:space="0" w:color="FFFFFF"/>
              <w:right w:val="single" w:sz="8" w:space="0" w:color="FFFFFF"/>
            </w:tcBorders>
            <w:shd w:val="clear" w:color="000000" w:fill="A5D5E2"/>
            <w:vAlign w:val="center"/>
            <w:hideMark/>
          </w:tcPr>
          <w:p w14:paraId="05C88156"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90,471</w:t>
            </w:r>
          </w:p>
        </w:tc>
        <w:tc>
          <w:tcPr>
            <w:tcW w:w="934" w:type="pct"/>
            <w:vMerge w:val="restart"/>
            <w:tcBorders>
              <w:top w:val="thinThickSmallGap" w:sz="24" w:space="0" w:color="auto"/>
              <w:left w:val="single" w:sz="8" w:space="0" w:color="FFFFFF"/>
              <w:bottom w:val="single" w:sz="8" w:space="0" w:color="FFFFFF"/>
              <w:right w:val="single" w:sz="8" w:space="0" w:color="auto"/>
            </w:tcBorders>
            <w:shd w:val="clear" w:color="000000" w:fill="A5D5E2"/>
            <w:vAlign w:val="center"/>
            <w:hideMark/>
          </w:tcPr>
          <w:p w14:paraId="78166388"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30</w:t>
            </w:r>
          </w:p>
        </w:tc>
      </w:tr>
      <w:tr w:rsidR="00AA1666" w:rsidRPr="00AA1666" w14:paraId="38034D67" w14:textId="77777777" w:rsidTr="00DC3BEB">
        <w:trPr>
          <w:trHeight w:val="600"/>
        </w:trPr>
        <w:tc>
          <w:tcPr>
            <w:tcW w:w="1009" w:type="pct"/>
            <w:vMerge/>
            <w:tcBorders>
              <w:top w:val="single" w:sz="8" w:space="0" w:color="FFFFFF"/>
              <w:left w:val="single" w:sz="8" w:space="0" w:color="auto"/>
              <w:bottom w:val="single" w:sz="8" w:space="0" w:color="FFFFFF"/>
              <w:right w:val="thinThickSmallGap" w:sz="24" w:space="0" w:color="auto"/>
            </w:tcBorders>
            <w:vAlign w:val="center"/>
            <w:hideMark/>
          </w:tcPr>
          <w:p w14:paraId="19350452" w14:textId="77777777" w:rsidR="00AA1666" w:rsidRPr="00AA1666" w:rsidRDefault="00AA1666" w:rsidP="00AA1666">
            <w:pPr>
              <w:spacing w:after="0"/>
              <w:jc w:val="left"/>
              <w:rPr>
                <w:rFonts w:ascii="Arial Narrow" w:hAnsi="Arial Narrow"/>
                <w:b/>
                <w:bCs/>
                <w:color w:val="FFFFFF"/>
                <w:szCs w:val="24"/>
                <w:lang w:eastAsia="en-AU"/>
              </w:rPr>
            </w:pPr>
          </w:p>
        </w:tc>
        <w:tc>
          <w:tcPr>
            <w:tcW w:w="1189" w:type="pct"/>
            <w:tcBorders>
              <w:top w:val="nil"/>
              <w:left w:val="thinThickSmallGap" w:sz="24" w:space="0" w:color="auto"/>
              <w:bottom w:val="single" w:sz="8" w:space="0" w:color="FFFFFF"/>
              <w:right w:val="single" w:sz="8" w:space="0" w:color="FFFFFF"/>
            </w:tcBorders>
            <w:shd w:val="clear" w:color="000000" w:fill="D2EAF1"/>
            <w:vAlign w:val="center"/>
            <w:hideMark/>
          </w:tcPr>
          <w:p w14:paraId="21F38D84"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Roads</w:t>
            </w:r>
          </w:p>
        </w:tc>
        <w:tc>
          <w:tcPr>
            <w:tcW w:w="934" w:type="pct"/>
            <w:tcBorders>
              <w:top w:val="nil"/>
              <w:left w:val="nil"/>
              <w:bottom w:val="single" w:sz="8" w:space="0" w:color="FFFFFF"/>
              <w:right w:val="single" w:sz="8" w:space="0" w:color="FFFFFF"/>
            </w:tcBorders>
            <w:shd w:val="clear" w:color="000000" w:fill="D2EAF1"/>
            <w:vAlign w:val="center"/>
            <w:hideMark/>
          </w:tcPr>
          <w:p w14:paraId="1788BE9F"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46.62</w:t>
            </w:r>
          </w:p>
        </w:tc>
        <w:tc>
          <w:tcPr>
            <w:tcW w:w="934" w:type="pct"/>
            <w:tcBorders>
              <w:top w:val="nil"/>
              <w:left w:val="nil"/>
              <w:bottom w:val="single" w:sz="8" w:space="0" w:color="FFFFFF"/>
              <w:right w:val="single" w:sz="8" w:space="0" w:color="FFFFFF"/>
            </w:tcBorders>
            <w:shd w:val="clear" w:color="000000" w:fill="D2EAF1"/>
            <w:vAlign w:val="center"/>
            <w:hideMark/>
          </w:tcPr>
          <w:p w14:paraId="7405A00B"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106,421</w:t>
            </w:r>
          </w:p>
        </w:tc>
        <w:tc>
          <w:tcPr>
            <w:tcW w:w="934" w:type="pct"/>
            <w:vMerge/>
            <w:tcBorders>
              <w:top w:val="nil"/>
              <w:left w:val="single" w:sz="8" w:space="0" w:color="FFFFFF"/>
              <w:bottom w:val="single" w:sz="8" w:space="0" w:color="FFFFFF"/>
              <w:right w:val="single" w:sz="8" w:space="0" w:color="auto"/>
            </w:tcBorders>
            <w:vAlign w:val="center"/>
            <w:hideMark/>
          </w:tcPr>
          <w:p w14:paraId="16D9AE60" w14:textId="77777777" w:rsidR="00AA1666" w:rsidRPr="00AA1666" w:rsidRDefault="00AA1666" w:rsidP="00AA1666">
            <w:pPr>
              <w:spacing w:after="0"/>
              <w:jc w:val="left"/>
              <w:rPr>
                <w:rFonts w:ascii="Arial Narrow" w:hAnsi="Arial Narrow"/>
                <w:color w:val="000000"/>
                <w:szCs w:val="24"/>
                <w:lang w:eastAsia="en-AU"/>
              </w:rPr>
            </w:pPr>
          </w:p>
        </w:tc>
      </w:tr>
      <w:tr w:rsidR="00AA1666" w:rsidRPr="00AA1666" w14:paraId="75173B9C" w14:textId="77777777" w:rsidTr="00DC3BEB">
        <w:trPr>
          <w:trHeight w:val="600"/>
        </w:trPr>
        <w:tc>
          <w:tcPr>
            <w:tcW w:w="1009" w:type="pct"/>
            <w:vMerge w:val="restar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71BD288E" w14:textId="77777777" w:rsidR="00AA1666" w:rsidRPr="00AA1666" w:rsidRDefault="00AA1666" w:rsidP="00AA1666">
            <w:pPr>
              <w:spacing w:after="0"/>
              <w:jc w:val="center"/>
              <w:rPr>
                <w:rFonts w:ascii="Arial Narrow" w:hAnsi="Arial Narrow"/>
                <w:b/>
                <w:bCs/>
                <w:color w:val="FFFFFF"/>
                <w:szCs w:val="24"/>
                <w:lang w:eastAsia="en-AU"/>
              </w:rPr>
            </w:pPr>
            <w:r w:rsidRPr="00AA1666">
              <w:rPr>
                <w:rFonts w:ascii="Arial Narrow" w:hAnsi="Arial Narrow"/>
                <w:b/>
                <w:bCs/>
                <w:color w:val="FFFFFF"/>
                <w:szCs w:val="24"/>
                <w:lang w:eastAsia="en-AU"/>
              </w:rPr>
              <w:t>Brick</w:t>
            </w:r>
          </w:p>
        </w:tc>
        <w:tc>
          <w:tcPr>
            <w:tcW w:w="1189" w:type="pct"/>
            <w:tcBorders>
              <w:top w:val="nil"/>
              <w:left w:val="thinThickSmallGap" w:sz="24" w:space="0" w:color="auto"/>
              <w:bottom w:val="single" w:sz="8" w:space="0" w:color="FFFFFF"/>
              <w:right w:val="single" w:sz="8" w:space="0" w:color="FFFFFF"/>
            </w:tcBorders>
            <w:shd w:val="clear" w:color="000000" w:fill="A5D5E2"/>
            <w:vAlign w:val="center"/>
            <w:hideMark/>
          </w:tcPr>
          <w:p w14:paraId="00C9BC03"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Parks</w:t>
            </w:r>
          </w:p>
        </w:tc>
        <w:tc>
          <w:tcPr>
            <w:tcW w:w="934" w:type="pct"/>
            <w:tcBorders>
              <w:top w:val="nil"/>
              <w:left w:val="nil"/>
              <w:bottom w:val="single" w:sz="8" w:space="0" w:color="FFFFFF"/>
              <w:right w:val="single" w:sz="8" w:space="0" w:color="FFFFFF"/>
            </w:tcBorders>
            <w:shd w:val="clear" w:color="000000" w:fill="A5D5E2"/>
            <w:vAlign w:val="center"/>
            <w:hideMark/>
          </w:tcPr>
          <w:p w14:paraId="563E6C45"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0.77</w:t>
            </w:r>
          </w:p>
        </w:tc>
        <w:tc>
          <w:tcPr>
            <w:tcW w:w="934" w:type="pct"/>
            <w:tcBorders>
              <w:top w:val="nil"/>
              <w:left w:val="nil"/>
              <w:bottom w:val="single" w:sz="8" w:space="0" w:color="FFFFFF"/>
              <w:right w:val="single" w:sz="8" w:space="0" w:color="FFFFFF"/>
            </w:tcBorders>
            <w:shd w:val="clear" w:color="000000" w:fill="A5D5E2"/>
            <w:vAlign w:val="center"/>
            <w:hideMark/>
          </w:tcPr>
          <w:p w14:paraId="33CC8137"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2,152</w:t>
            </w:r>
          </w:p>
        </w:tc>
        <w:tc>
          <w:tcPr>
            <w:tcW w:w="934" w:type="pct"/>
            <w:vMerge w:val="restart"/>
            <w:tcBorders>
              <w:top w:val="nil"/>
              <w:left w:val="single" w:sz="8" w:space="0" w:color="FFFFFF"/>
              <w:bottom w:val="single" w:sz="8" w:space="0" w:color="FFFFFF"/>
              <w:right w:val="single" w:sz="8" w:space="0" w:color="auto"/>
            </w:tcBorders>
            <w:shd w:val="clear" w:color="000000" w:fill="A5D5E2"/>
            <w:vAlign w:val="center"/>
            <w:hideMark/>
          </w:tcPr>
          <w:p w14:paraId="4785DA5F"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50</w:t>
            </w:r>
          </w:p>
        </w:tc>
      </w:tr>
      <w:tr w:rsidR="00AA1666" w:rsidRPr="00AA1666" w14:paraId="756C526D" w14:textId="77777777" w:rsidTr="00DC3BEB">
        <w:trPr>
          <w:trHeight w:val="600"/>
        </w:trPr>
        <w:tc>
          <w:tcPr>
            <w:tcW w:w="1009" w:type="pct"/>
            <w:vMerge/>
            <w:tcBorders>
              <w:top w:val="single" w:sz="8" w:space="0" w:color="FFFFFF"/>
              <w:left w:val="single" w:sz="8" w:space="0" w:color="auto"/>
              <w:bottom w:val="single" w:sz="8" w:space="0" w:color="FFFFFF"/>
              <w:right w:val="thinThickSmallGap" w:sz="24" w:space="0" w:color="auto"/>
            </w:tcBorders>
            <w:vAlign w:val="center"/>
            <w:hideMark/>
          </w:tcPr>
          <w:p w14:paraId="1756CC5B" w14:textId="77777777" w:rsidR="00AA1666" w:rsidRPr="00AA1666" w:rsidRDefault="00AA1666" w:rsidP="00AA1666">
            <w:pPr>
              <w:spacing w:after="0"/>
              <w:jc w:val="left"/>
              <w:rPr>
                <w:rFonts w:ascii="Arial Narrow" w:hAnsi="Arial Narrow"/>
                <w:b/>
                <w:bCs/>
                <w:color w:val="FFFFFF"/>
                <w:szCs w:val="24"/>
                <w:lang w:eastAsia="en-AU"/>
              </w:rPr>
            </w:pPr>
          </w:p>
        </w:tc>
        <w:tc>
          <w:tcPr>
            <w:tcW w:w="1189" w:type="pct"/>
            <w:tcBorders>
              <w:top w:val="nil"/>
              <w:left w:val="thinThickSmallGap" w:sz="24" w:space="0" w:color="auto"/>
              <w:bottom w:val="single" w:sz="8" w:space="0" w:color="FFFFFF"/>
              <w:right w:val="single" w:sz="8" w:space="0" w:color="FFFFFF"/>
            </w:tcBorders>
            <w:shd w:val="clear" w:color="000000" w:fill="D2EAF1"/>
            <w:vAlign w:val="center"/>
            <w:hideMark/>
          </w:tcPr>
          <w:p w14:paraId="77EA7C1F"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Roads</w:t>
            </w:r>
          </w:p>
        </w:tc>
        <w:tc>
          <w:tcPr>
            <w:tcW w:w="934" w:type="pct"/>
            <w:tcBorders>
              <w:top w:val="nil"/>
              <w:left w:val="nil"/>
              <w:bottom w:val="single" w:sz="8" w:space="0" w:color="FFFFFF"/>
              <w:right w:val="single" w:sz="8" w:space="0" w:color="FFFFFF"/>
            </w:tcBorders>
            <w:shd w:val="clear" w:color="000000" w:fill="D2EAF1"/>
            <w:vAlign w:val="center"/>
            <w:hideMark/>
          </w:tcPr>
          <w:p w14:paraId="79A8B2E2"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10.64</w:t>
            </w:r>
          </w:p>
        </w:tc>
        <w:tc>
          <w:tcPr>
            <w:tcW w:w="934" w:type="pct"/>
            <w:tcBorders>
              <w:top w:val="nil"/>
              <w:left w:val="nil"/>
              <w:bottom w:val="single" w:sz="8" w:space="0" w:color="FFFFFF"/>
              <w:right w:val="single" w:sz="8" w:space="0" w:color="FFFFFF"/>
            </w:tcBorders>
            <w:shd w:val="clear" w:color="000000" w:fill="D2EAF1"/>
            <w:vAlign w:val="center"/>
            <w:hideMark/>
          </w:tcPr>
          <w:p w14:paraId="57E39198"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23,729</w:t>
            </w:r>
          </w:p>
        </w:tc>
        <w:tc>
          <w:tcPr>
            <w:tcW w:w="934" w:type="pct"/>
            <w:vMerge/>
            <w:tcBorders>
              <w:top w:val="nil"/>
              <w:left w:val="single" w:sz="8" w:space="0" w:color="FFFFFF"/>
              <w:bottom w:val="single" w:sz="8" w:space="0" w:color="FFFFFF"/>
              <w:right w:val="single" w:sz="8" w:space="0" w:color="auto"/>
            </w:tcBorders>
            <w:vAlign w:val="center"/>
            <w:hideMark/>
          </w:tcPr>
          <w:p w14:paraId="50555A0C" w14:textId="77777777" w:rsidR="00AA1666" w:rsidRPr="00AA1666" w:rsidRDefault="00AA1666" w:rsidP="00AA1666">
            <w:pPr>
              <w:spacing w:after="0"/>
              <w:jc w:val="left"/>
              <w:rPr>
                <w:rFonts w:ascii="Arial Narrow" w:hAnsi="Arial Narrow"/>
                <w:color w:val="000000"/>
                <w:szCs w:val="24"/>
                <w:lang w:eastAsia="en-AU"/>
              </w:rPr>
            </w:pPr>
          </w:p>
        </w:tc>
      </w:tr>
      <w:tr w:rsidR="00AA1666" w:rsidRPr="00AA1666" w14:paraId="22F320DB" w14:textId="77777777" w:rsidTr="00DC3BEB">
        <w:trPr>
          <w:trHeight w:val="600"/>
        </w:trPr>
        <w:tc>
          <w:tcPr>
            <w:tcW w:w="1009" w:type="pct"/>
            <w:vMerge w:val="restar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57A31828" w14:textId="77777777" w:rsidR="00AA1666" w:rsidRPr="00AA1666" w:rsidRDefault="00AA1666" w:rsidP="00AA1666">
            <w:pPr>
              <w:spacing w:after="0"/>
              <w:jc w:val="center"/>
              <w:rPr>
                <w:rFonts w:ascii="Arial Narrow" w:hAnsi="Arial Narrow"/>
                <w:b/>
                <w:bCs/>
                <w:color w:val="FFFFFF"/>
                <w:szCs w:val="24"/>
                <w:lang w:eastAsia="en-AU"/>
              </w:rPr>
            </w:pPr>
            <w:r w:rsidRPr="00AA1666">
              <w:rPr>
                <w:rFonts w:ascii="Arial Narrow" w:hAnsi="Arial Narrow"/>
                <w:b/>
                <w:bCs/>
                <w:color w:val="FFFFFF"/>
                <w:szCs w:val="24"/>
                <w:lang w:eastAsia="en-AU"/>
              </w:rPr>
              <w:t>Concrete</w:t>
            </w:r>
          </w:p>
        </w:tc>
        <w:tc>
          <w:tcPr>
            <w:tcW w:w="1189" w:type="pct"/>
            <w:tcBorders>
              <w:top w:val="nil"/>
              <w:left w:val="thinThickSmallGap" w:sz="24" w:space="0" w:color="auto"/>
              <w:bottom w:val="single" w:sz="8" w:space="0" w:color="FFFFFF"/>
              <w:right w:val="single" w:sz="8" w:space="0" w:color="FFFFFF"/>
            </w:tcBorders>
            <w:shd w:val="clear" w:color="000000" w:fill="A5D5E2"/>
            <w:vAlign w:val="center"/>
            <w:hideMark/>
          </w:tcPr>
          <w:p w14:paraId="26E29A6A"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Parks</w:t>
            </w:r>
          </w:p>
        </w:tc>
        <w:tc>
          <w:tcPr>
            <w:tcW w:w="934" w:type="pct"/>
            <w:tcBorders>
              <w:top w:val="nil"/>
              <w:left w:val="nil"/>
              <w:bottom w:val="single" w:sz="8" w:space="0" w:color="FFFFFF"/>
              <w:right w:val="single" w:sz="8" w:space="0" w:color="FFFFFF"/>
            </w:tcBorders>
            <w:shd w:val="clear" w:color="000000" w:fill="A5D5E2"/>
            <w:vAlign w:val="center"/>
            <w:hideMark/>
          </w:tcPr>
          <w:p w14:paraId="5E4A8CDA"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71.07</w:t>
            </w:r>
          </w:p>
        </w:tc>
        <w:tc>
          <w:tcPr>
            <w:tcW w:w="934" w:type="pct"/>
            <w:tcBorders>
              <w:top w:val="nil"/>
              <w:left w:val="nil"/>
              <w:bottom w:val="single" w:sz="8" w:space="0" w:color="FFFFFF"/>
              <w:right w:val="single" w:sz="8" w:space="0" w:color="FFFFFF"/>
            </w:tcBorders>
            <w:shd w:val="clear" w:color="000000" w:fill="A5D5E2"/>
            <w:vAlign w:val="center"/>
            <w:hideMark/>
          </w:tcPr>
          <w:p w14:paraId="6D0A77CF"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149,396</w:t>
            </w:r>
          </w:p>
        </w:tc>
        <w:tc>
          <w:tcPr>
            <w:tcW w:w="934" w:type="pct"/>
            <w:vMerge w:val="restart"/>
            <w:tcBorders>
              <w:top w:val="nil"/>
              <w:left w:val="single" w:sz="8" w:space="0" w:color="FFFFFF"/>
              <w:bottom w:val="single" w:sz="8" w:space="0" w:color="FFFFFF"/>
              <w:right w:val="single" w:sz="8" w:space="0" w:color="auto"/>
            </w:tcBorders>
            <w:shd w:val="clear" w:color="000000" w:fill="A5D5E2"/>
            <w:vAlign w:val="center"/>
            <w:hideMark/>
          </w:tcPr>
          <w:p w14:paraId="45A340A0"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50</w:t>
            </w:r>
          </w:p>
        </w:tc>
      </w:tr>
      <w:tr w:rsidR="00AA1666" w:rsidRPr="00AA1666" w14:paraId="7B0CC5EE" w14:textId="77777777" w:rsidTr="00DC3BEB">
        <w:trPr>
          <w:trHeight w:val="600"/>
        </w:trPr>
        <w:tc>
          <w:tcPr>
            <w:tcW w:w="1009" w:type="pct"/>
            <w:vMerge/>
            <w:tcBorders>
              <w:top w:val="single" w:sz="8" w:space="0" w:color="FFFFFF"/>
              <w:left w:val="single" w:sz="8" w:space="0" w:color="auto"/>
              <w:bottom w:val="single" w:sz="8" w:space="0" w:color="FFFFFF"/>
              <w:right w:val="thinThickSmallGap" w:sz="24" w:space="0" w:color="auto"/>
            </w:tcBorders>
            <w:vAlign w:val="center"/>
            <w:hideMark/>
          </w:tcPr>
          <w:p w14:paraId="64402628" w14:textId="77777777" w:rsidR="00AA1666" w:rsidRPr="00AA1666" w:rsidRDefault="00AA1666" w:rsidP="00AA1666">
            <w:pPr>
              <w:spacing w:after="0"/>
              <w:jc w:val="left"/>
              <w:rPr>
                <w:rFonts w:ascii="Arial Narrow" w:hAnsi="Arial Narrow"/>
                <w:b/>
                <w:bCs/>
                <w:color w:val="FFFFFF"/>
                <w:szCs w:val="24"/>
                <w:lang w:eastAsia="en-AU"/>
              </w:rPr>
            </w:pPr>
          </w:p>
        </w:tc>
        <w:tc>
          <w:tcPr>
            <w:tcW w:w="1189" w:type="pct"/>
            <w:tcBorders>
              <w:top w:val="nil"/>
              <w:left w:val="thinThickSmallGap" w:sz="24" w:space="0" w:color="auto"/>
              <w:bottom w:val="single" w:sz="8" w:space="0" w:color="FFFFFF"/>
              <w:right w:val="single" w:sz="8" w:space="0" w:color="FFFFFF"/>
            </w:tcBorders>
            <w:shd w:val="clear" w:color="000000" w:fill="D2EAF1"/>
            <w:vAlign w:val="center"/>
            <w:hideMark/>
          </w:tcPr>
          <w:p w14:paraId="0C04BA01"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Roads</w:t>
            </w:r>
          </w:p>
        </w:tc>
        <w:tc>
          <w:tcPr>
            <w:tcW w:w="934" w:type="pct"/>
            <w:tcBorders>
              <w:top w:val="nil"/>
              <w:left w:val="nil"/>
              <w:bottom w:val="single" w:sz="8" w:space="0" w:color="FFFFFF"/>
              <w:right w:val="single" w:sz="8" w:space="0" w:color="FFFFFF"/>
            </w:tcBorders>
            <w:shd w:val="clear" w:color="000000" w:fill="D2EAF1"/>
            <w:vAlign w:val="center"/>
            <w:hideMark/>
          </w:tcPr>
          <w:p w14:paraId="2C607A4D"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574.43</w:t>
            </w:r>
          </w:p>
        </w:tc>
        <w:tc>
          <w:tcPr>
            <w:tcW w:w="934" w:type="pct"/>
            <w:tcBorders>
              <w:top w:val="nil"/>
              <w:left w:val="nil"/>
              <w:bottom w:val="single" w:sz="8" w:space="0" w:color="FFFFFF"/>
              <w:right w:val="single" w:sz="8" w:space="0" w:color="FFFFFF"/>
            </w:tcBorders>
            <w:shd w:val="clear" w:color="000000" w:fill="D2EAF1"/>
            <w:vAlign w:val="center"/>
            <w:hideMark/>
          </w:tcPr>
          <w:p w14:paraId="0C40AFD2"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1,077,695</w:t>
            </w:r>
          </w:p>
        </w:tc>
        <w:tc>
          <w:tcPr>
            <w:tcW w:w="934" w:type="pct"/>
            <w:vMerge/>
            <w:tcBorders>
              <w:top w:val="nil"/>
              <w:left w:val="single" w:sz="8" w:space="0" w:color="FFFFFF"/>
              <w:bottom w:val="single" w:sz="8" w:space="0" w:color="FFFFFF"/>
              <w:right w:val="single" w:sz="8" w:space="0" w:color="auto"/>
            </w:tcBorders>
            <w:vAlign w:val="center"/>
            <w:hideMark/>
          </w:tcPr>
          <w:p w14:paraId="28A5C895" w14:textId="77777777" w:rsidR="00AA1666" w:rsidRPr="00AA1666" w:rsidRDefault="00AA1666" w:rsidP="00AA1666">
            <w:pPr>
              <w:spacing w:after="0"/>
              <w:jc w:val="left"/>
              <w:rPr>
                <w:rFonts w:ascii="Arial Narrow" w:hAnsi="Arial Narrow"/>
                <w:color w:val="000000"/>
                <w:szCs w:val="24"/>
                <w:lang w:eastAsia="en-AU"/>
              </w:rPr>
            </w:pPr>
          </w:p>
        </w:tc>
      </w:tr>
      <w:tr w:rsidR="00AA1666" w:rsidRPr="00AA1666" w14:paraId="046FAC49" w14:textId="77777777" w:rsidTr="00DC3BEB">
        <w:trPr>
          <w:trHeight w:val="600"/>
        </w:trPr>
        <w:tc>
          <w:tcPr>
            <w:tcW w:w="1009" w:type="pct"/>
            <w:vMerge w:val="restar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34123871" w14:textId="77777777" w:rsidR="00AA1666" w:rsidRPr="00AA1666" w:rsidRDefault="00AA1666" w:rsidP="00AA1666">
            <w:pPr>
              <w:spacing w:after="0"/>
              <w:jc w:val="center"/>
              <w:rPr>
                <w:rFonts w:ascii="Arial Narrow" w:hAnsi="Arial Narrow"/>
                <w:b/>
                <w:bCs/>
                <w:color w:val="FFFFFF"/>
                <w:szCs w:val="24"/>
                <w:lang w:eastAsia="en-AU"/>
              </w:rPr>
            </w:pPr>
            <w:r w:rsidRPr="00AA1666">
              <w:rPr>
                <w:rFonts w:ascii="Arial Narrow" w:hAnsi="Arial Narrow"/>
                <w:b/>
                <w:bCs/>
                <w:color w:val="FFFFFF"/>
                <w:szCs w:val="24"/>
                <w:lang w:eastAsia="en-AU"/>
              </w:rPr>
              <w:t>Wood</w:t>
            </w:r>
          </w:p>
        </w:tc>
        <w:tc>
          <w:tcPr>
            <w:tcW w:w="1189" w:type="pct"/>
            <w:tcBorders>
              <w:top w:val="nil"/>
              <w:left w:val="thinThickSmallGap" w:sz="24" w:space="0" w:color="auto"/>
              <w:bottom w:val="single" w:sz="8" w:space="0" w:color="FFFFFF"/>
              <w:right w:val="single" w:sz="8" w:space="0" w:color="FFFFFF"/>
            </w:tcBorders>
            <w:shd w:val="clear" w:color="000000" w:fill="A5D5E2"/>
            <w:vAlign w:val="center"/>
            <w:hideMark/>
          </w:tcPr>
          <w:p w14:paraId="3A0C1FFE"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Parks</w:t>
            </w:r>
          </w:p>
        </w:tc>
        <w:tc>
          <w:tcPr>
            <w:tcW w:w="934" w:type="pct"/>
            <w:tcBorders>
              <w:top w:val="nil"/>
              <w:left w:val="nil"/>
              <w:bottom w:val="single" w:sz="8" w:space="0" w:color="FFFFFF"/>
              <w:right w:val="single" w:sz="8" w:space="0" w:color="FFFFFF"/>
            </w:tcBorders>
            <w:shd w:val="clear" w:color="000000" w:fill="A5D5E2"/>
            <w:vAlign w:val="center"/>
            <w:hideMark/>
          </w:tcPr>
          <w:p w14:paraId="7E341E0C"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0.23</w:t>
            </w:r>
          </w:p>
        </w:tc>
        <w:tc>
          <w:tcPr>
            <w:tcW w:w="934" w:type="pct"/>
            <w:tcBorders>
              <w:top w:val="nil"/>
              <w:left w:val="nil"/>
              <w:bottom w:val="single" w:sz="8" w:space="0" w:color="FFFFFF"/>
              <w:right w:val="single" w:sz="8" w:space="0" w:color="FFFFFF"/>
            </w:tcBorders>
            <w:shd w:val="clear" w:color="000000" w:fill="A5D5E2"/>
            <w:vAlign w:val="center"/>
            <w:hideMark/>
          </w:tcPr>
          <w:p w14:paraId="3071BD34"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515</w:t>
            </w:r>
          </w:p>
        </w:tc>
        <w:tc>
          <w:tcPr>
            <w:tcW w:w="934" w:type="pct"/>
            <w:vMerge w:val="restart"/>
            <w:tcBorders>
              <w:top w:val="nil"/>
              <w:left w:val="single" w:sz="8" w:space="0" w:color="FFFFFF"/>
              <w:bottom w:val="single" w:sz="8" w:space="0" w:color="FFFFFF"/>
              <w:right w:val="single" w:sz="8" w:space="0" w:color="auto"/>
            </w:tcBorders>
            <w:shd w:val="clear" w:color="000000" w:fill="A5D5E2"/>
            <w:vAlign w:val="center"/>
            <w:hideMark/>
          </w:tcPr>
          <w:p w14:paraId="16743DB3"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45</w:t>
            </w:r>
          </w:p>
        </w:tc>
      </w:tr>
      <w:tr w:rsidR="00AA1666" w:rsidRPr="00AA1666" w14:paraId="26DCB534" w14:textId="77777777" w:rsidTr="00DC3BEB">
        <w:trPr>
          <w:trHeight w:val="600"/>
        </w:trPr>
        <w:tc>
          <w:tcPr>
            <w:tcW w:w="1009" w:type="pct"/>
            <w:vMerge/>
            <w:tcBorders>
              <w:top w:val="single" w:sz="8" w:space="0" w:color="FFFFFF"/>
              <w:left w:val="single" w:sz="8" w:space="0" w:color="auto"/>
              <w:bottom w:val="single" w:sz="8" w:space="0" w:color="auto"/>
              <w:right w:val="thinThickSmallGap" w:sz="24" w:space="0" w:color="auto"/>
            </w:tcBorders>
            <w:vAlign w:val="center"/>
            <w:hideMark/>
          </w:tcPr>
          <w:p w14:paraId="4B311F19" w14:textId="77777777" w:rsidR="00AA1666" w:rsidRPr="00AA1666" w:rsidRDefault="00AA1666" w:rsidP="00AA1666">
            <w:pPr>
              <w:spacing w:after="0"/>
              <w:jc w:val="left"/>
              <w:rPr>
                <w:rFonts w:ascii="Arial Narrow" w:hAnsi="Arial Narrow"/>
                <w:b/>
                <w:bCs/>
                <w:color w:val="FFFFFF"/>
                <w:szCs w:val="24"/>
                <w:lang w:eastAsia="en-AU"/>
              </w:rPr>
            </w:pPr>
          </w:p>
        </w:tc>
        <w:tc>
          <w:tcPr>
            <w:tcW w:w="1189" w:type="pct"/>
            <w:tcBorders>
              <w:top w:val="nil"/>
              <w:left w:val="thinThickSmallGap" w:sz="24" w:space="0" w:color="auto"/>
              <w:bottom w:val="single" w:sz="8" w:space="0" w:color="auto"/>
              <w:right w:val="single" w:sz="8" w:space="0" w:color="FFFFFF"/>
            </w:tcBorders>
            <w:shd w:val="clear" w:color="000000" w:fill="D2EAF1"/>
            <w:vAlign w:val="center"/>
            <w:hideMark/>
          </w:tcPr>
          <w:p w14:paraId="3682CCDD"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Roads</w:t>
            </w:r>
          </w:p>
        </w:tc>
        <w:tc>
          <w:tcPr>
            <w:tcW w:w="934" w:type="pct"/>
            <w:tcBorders>
              <w:top w:val="nil"/>
              <w:left w:val="nil"/>
              <w:bottom w:val="single" w:sz="8" w:space="0" w:color="auto"/>
              <w:right w:val="single" w:sz="8" w:space="0" w:color="FFFFFF"/>
            </w:tcBorders>
            <w:shd w:val="clear" w:color="000000" w:fill="D2EAF1"/>
            <w:vAlign w:val="center"/>
            <w:hideMark/>
          </w:tcPr>
          <w:p w14:paraId="52F9F866"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0.00</w:t>
            </w:r>
          </w:p>
        </w:tc>
        <w:tc>
          <w:tcPr>
            <w:tcW w:w="934" w:type="pct"/>
            <w:tcBorders>
              <w:top w:val="nil"/>
              <w:left w:val="nil"/>
              <w:bottom w:val="single" w:sz="8" w:space="0" w:color="auto"/>
              <w:right w:val="single" w:sz="8" w:space="0" w:color="FFFFFF"/>
            </w:tcBorders>
            <w:shd w:val="clear" w:color="000000" w:fill="D2EAF1"/>
            <w:vAlign w:val="center"/>
            <w:hideMark/>
          </w:tcPr>
          <w:p w14:paraId="5ABB5125" w14:textId="77777777" w:rsidR="00AA1666" w:rsidRPr="00AA1666" w:rsidRDefault="00AA1666" w:rsidP="00AA1666">
            <w:pPr>
              <w:spacing w:after="0"/>
              <w:jc w:val="center"/>
              <w:rPr>
                <w:rFonts w:ascii="Arial Narrow" w:hAnsi="Arial Narrow"/>
                <w:color w:val="000000"/>
                <w:szCs w:val="24"/>
                <w:lang w:eastAsia="en-AU"/>
              </w:rPr>
            </w:pPr>
            <w:r w:rsidRPr="00AA1666">
              <w:rPr>
                <w:rFonts w:ascii="Arial Narrow" w:hAnsi="Arial Narrow"/>
                <w:color w:val="000000"/>
                <w:szCs w:val="24"/>
                <w:lang w:eastAsia="en-AU"/>
              </w:rPr>
              <w:t>0</w:t>
            </w:r>
          </w:p>
        </w:tc>
        <w:tc>
          <w:tcPr>
            <w:tcW w:w="934" w:type="pct"/>
            <w:vMerge/>
            <w:tcBorders>
              <w:top w:val="nil"/>
              <w:left w:val="single" w:sz="8" w:space="0" w:color="FFFFFF"/>
              <w:bottom w:val="single" w:sz="8" w:space="0" w:color="auto"/>
              <w:right w:val="single" w:sz="8" w:space="0" w:color="auto"/>
            </w:tcBorders>
            <w:vAlign w:val="center"/>
            <w:hideMark/>
          </w:tcPr>
          <w:p w14:paraId="5F24EE74" w14:textId="77777777" w:rsidR="00AA1666" w:rsidRPr="00AA1666" w:rsidRDefault="00AA1666" w:rsidP="00AA1666">
            <w:pPr>
              <w:spacing w:after="0"/>
              <w:jc w:val="left"/>
              <w:rPr>
                <w:rFonts w:ascii="Arial Narrow" w:hAnsi="Arial Narrow"/>
                <w:color w:val="000000"/>
                <w:szCs w:val="24"/>
                <w:lang w:eastAsia="en-AU"/>
              </w:rPr>
            </w:pPr>
          </w:p>
        </w:tc>
      </w:tr>
      <w:tr w:rsidR="00AA1666" w:rsidRPr="00AA1666" w14:paraId="5E260A4A" w14:textId="77777777" w:rsidTr="00DC3BEB">
        <w:trPr>
          <w:trHeight w:val="600"/>
        </w:trPr>
        <w:tc>
          <w:tcPr>
            <w:tcW w:w="1009" w:type="pct"/>
            <w:tcBorders>
              <w:top w:val="single" w:sz="8" w:space="0" w:color="auto"/>
              <w:left w:val="single" w:sz="8" w:space="0" w:color="auto"/>
              <w:bottom w:val="single" w:sz="8" w:space="0" w:color="auto"/>
              <w:right w:val="single" w:sz="12" w:space="0" w:color="FFFFFF"/>
            </w:tcBorders>
            <w:shd w:val="clear" w:color="auto" w:fill="auto"/>
            <w:vAlign w:val="center"/>
            <w:hideMark/>
          </w:tcPr>
          <w:p w14:paraId="7C20564B" w14:textId="77777777" w:rsidR="00AA1666" w:rsidRPr="00DC3BEB" w:rsidRDefault="00AA1666" w:rsidP="00AA1666">
            <w:pPr>
              <w:spacing w:after="0"/>
              <w:jc w:val="center"/>
              <w:rPr>
                <w:rFonts w:ascii="Arial Narrow" w:hAnsi="Arial Narrow"/>
                <w:b/>
                <w:bCs/>
                <w:szCs w:val="24"/>
                <w:lang w:eastAsia="en-AU"/>
              </w:rPr>
            </w:pPr>
            <w:r w:rsidRPr="00DC3BEB">
              <w:rPr>
                <w:rFonts w:ascii="Arial Narrow" w:hAnsi="Arial Narrow"/>
                <w:b/>
                <w:bCs/>
                <w:szCs w:val="24"/>
                <w:lang w:eastAsia="en-AU"/>
              </w:rPr>
              <w:t>TOTAL</w:t>
            </w:r>
          </w:p>
        </w:tc>
        <w:tc>
          <w:tcPr>
            <w:tcW w:w="1189" w:type="pct"/>
            <w:tcBorders>
              <w:top w:val="single" w:sz="8" w:space="0" w:color="auto"/>
              <w:left w:val="nil"/>
              <w:bottom w:val="single" w:sz="8" w:space="0" w:color="auto"/>
              <w:right w:val="single" w:sz="8" w:space="0" w:color="FFFFFF"/>
            </w:tcBorders>
            <w:shd w:val="clear" w:color="auto" w:fill="auto"/>
            <w:vAlign w:val="center"/>
            <w:hideMark/>
          </w:tcPr>
          <w:p w14:paraId="7F9B633E" w14:textId="77777777" w:rsidR="00AA1666" w:rsidRPr="00DC3BEB" w:rsidRDefault="00AA1666" w:rsidP="00AA1666">
            <w:pPr>
              <w:spacing w:after="0"/>
              <w:jc w:val="center"/>
              <w:rPr>
                <w:rFonts w:ascii="Arial Narrow" w:hAnsi="Arial Narrow"/>
                <w:b/>
                <w:szCs w:val="24"/>
                <w:lang w:eastAsia="en-AU"/>
              </w:rPr>
            </w:pPr>
            <w:r w:rsidRPr="00DC3BEB">
              <w:rPr>
                <w:rFonts w:ascii="Arial Narrow" w:hAnsi="Arial Narrow"/>
                <w:b/>
                <w:szCs w:val="24"/>
                <w:lang w:eastAsia="en-AU"/>
              </w:rPr>
              <w:t> </w:t>
            </w:r>
          </w:p>
        </w:tc>
        <w:tc>
          <w:tcPr>
            <w:tcW w:w="934" w:type="pct"/>
            <w:tcBorders>
              <w:top w:val="single" w:sz="8" w:space="0" w:color="auto"/>
              <w:left w:val="nil"/>
              <w:bottom w:val="single" w:sz="8" w:space="0" w:color="auto"/>
              <w:right w:val="single" w:sz="8" w:space="0" w:color="FFFFFF"/>
            </w:tcBorders>
            <w:shd w:val="clear" w:color="auto" w:fill="auto"/>
            <w:vAlign w:val="center"/>
            <w:hideMark/>
          </w:tcPr>
          <w:p w14:paraId="073B463A" w14:textId="77777777" w:rsidR="00AA1666" w:rsidRPr="00DC3BEB" w:rsidRDefault="00AA1666" w:rsidP="00AA1666">
            <w:pPr>
              <w:spacing w:after="0"/>
              <w:jc w:val="center"/>
              <w:rPr>
                <w:rFonts w:ascii="Arial Narrow" w:hAnsi="Arial Narrow"/>
                <w:b/>
                <w:szCs w:val="24"/>
                <w:lang w:eastAsia="en-AU"/>
              </w:rPr>
            </w:pPr>
            <w:r w:rsidRPr="00DC3BEB">
              <w:rPr>
                <w:rFonts w:ascii="Arial Narrow" w:hAnsi="Arial Narrow"/>
                <w:b/>
                <w:szCs w:val="24"/>
                <w:lang w:eastAsia="en-AU"/>
              </w:rPr>
              <w:t>742.71</w:t>
            </w:r>
          </w:p>
        </w:tc>
        <w:tc>
          <w:tcPr>
            <w:tcW w:w="934" w:type="pct"/>
            <w:tcBorders>
              <w:top w:val="single" w:sz="8" w:space="0" w:color="auto"/>
              <w:left w:val="nil"/>
              <w:bottom w:val="single" w:sz="8" w:space="0" w:color="auto"/>
              <w:right w:val="single" w:sz="8" w:space="0" w:color="FFFFFF"/>
            </w:tcBorders>
            <w:shd w:val="clear" w:color="auto" w:fill="auto"/>
            <w:vAlign w:val="center"/>
            <w:hideMark/>
          </w:tcPr>
          <w:p w14:paraId="0801C690" w14:textId="77777777" w:rsidR="00AA1666" w:rsidRPr="00DC3BEB" w:rsidRDefault="00AA1666" w:rsidP="00AA1666">
            <w:pPr>
              <w:spacing w:after="0"/>
              <w:jc w:val="center"/>
              <w:rPr>
                <w:rFonts w:ascii="Arial Narrow" w:hAnsi="Arial Narrow"/>
                <w:b/>
                <w:szCs w:val="24"/>
                <w:lang w:eastAsia="en-AU"/>
              </w:rPr>
            </w:pPr>
            <w:r w:rsidRPr="00DC3BEB">
              <w:rPr>
                <w:rFonts w:ascii="Arial Narrow" w:hAnsi="Arial Narrow"/>
                <w:b/>
                <w:szCs w:val="24"/>
                <w:lang w:eastAsia="en-AU"/>
              </w:rPr>
              <w:t>1,450,379</w:t>
            </w:r>
          </w:p>
        </w:tc>
        <w:tc>
          <w:tcPr>
            <w:tcW w:w="934" w:type="pct"/>
            <w:tcBorders>
              <w:top w:val="single" w:sz="8" w:space="0" w:color="auto"/>
              <w:left w:val="nil"/>
              <w:bottom w:val="single" w:sz="8" w:space="0" w:color="auto"/>
              <w:right w:val="single" w:sz="8" w:space="0" w:color="auto"/>
            </w:tcBorders>
            <w:shd w:val="clear" w:color="auto" w:fill="auto"/>
            <w:vAlign w:val="center"/>
            <w:hideMark/>
          </w:tcPr>
          <w:p w14:paraId="472B2B39" w14:textId="77777777" w:rsidR="00AA1666" w:rsidRPr="00DC3BEB" w:rsidRDefault="00AA1666" w:rsidP="00AA1666">
            <w:pPr>
              <w:spacing w:after="0"/>
              <w:jc w:val="center"/>
              <w:rPr>
                <w:rFonts w:ascii="Arial Narrow" w:hAnsi="Arial Narrow"/>
                <w:b/>
                <w:szCs w:val="24"/>
                <w:lang w:eastAsia="en-AU"/>
              </w:rPr>
            </w:pPr>
            <w:r w:rsidRPr="00DC3BEB">
              <w:rPr>
                <w:rFonts w:ascii="Arial Narrow" w:hAnsi="Arial Narrow"/>
                <w:b/>
                <w:szCs w:val="24"/>
                <w:lang w:eastAsia="en-AU"/>
              </w:rPr>
              <w:t> </w:t>
            </w:r>
          </w:p>
        </w:tc>
      </w:tr>
    </w:tbl>
    <w:p w14:paraId="746597E4" w14:textId="77777777" w:rsidR="00690C73" w:rsidRDefault="00690C73" w:rsidP="00690C73">
      <w:pPr>
        <w:pStyle w:val="BodyText"/>
        <w:tabs>
          <w:tab w:val="left" w:pos="851"/>
        </w:tabs>
        <w:spacing w:before="120" w:after="120"/>
        <w:jc w:val="left"/>
        <w:rPr>
          <w:rFonts w:cs="Arial"/>
          <w:b/>
          <w:i/>
          <w:color w:val="0070C0"/>
          <w:szCs w:val="24"/>
        </w:rPr>
      </w:pPr>
    </w:p>
    <w:p w14:paraId="04E8DFAA" w14:textId="2452FBB9" w:rsidR="003B2CB3" w:rsidRDefault="003939A8" w:rsidP="003B2CB3">
      <w:pPr>
        <w:pStyle w:val="BodyText"/>
        <w:tabs>
          <w:tab w:val="left" w:pos="851"/>
        </w:tabs>
        <w:spacing w:before="120" w:after="120"/>
        <w:jc w:val="left"/>
        <w:rPr>
          <w:rFonts w:cs="Arial"/>
          <w:szCs w:val="24"/>
        </w:rPr>
      </w:pPr>
      <w:r w:rsidRPr="003939A8">
        <w:rPr>
          <w:rFonts w:cs="Arial"/>
          <w:color w:val="000000" w:themeColor="text1"/>
          <w:szCs w:val="24"/>
        </w:rPr>
        <w:t>Furth</w:t>
      </w:r>
      <w:r>
        <w:rPr>
          <w:rFonts w:cs="Arial"/>
          <w:color w:val="000000" w:themeColor="text1"/>
          <w:szCs w:val="24"/>
        </w:rPr>
        <w:t>er a</w:t>
      </w:r>
      <w:r w:rsidRPr="003939A8">
        <w:rPr>
          <w:rFonts w:cs="Arial"/>
          <w:color w:val="000000" w:themeColor="text1"/>
          <w:szCs w:val="24"/>
        </w:rPr>
        <w:t xml:space="preserve">nalysis of the City’s footpath assets </w:t>
      </w:r>
      <w:r w:rsidR="004D5314">
        <w:rPr>
          <w:rFonts w:cs="Arial"/>
          <w:color w:val="000000" w:themeColor="text1"/>
          <w:szCs w:val="24"/>
        </w:rPr>
        <w:t>by age and condition are shown on the</w:t>
      </w:r>
      <w:r w:rsidR="004D5314" w:rsidRPr="00EA6639">
        <w:rPr>
          <w:rFonts w:cs="Arial"/>
          <w:szCs w:val="24"/>
        </w:rPr>
        <w:t xml:space="preserve"> </w:t>
      </w:r>
      <w:r w:rsidR="00A94DC5">
        <w:rPr>
          <w:rFonts w:cs="Arial"/>
          <w:szCs w:val="24"/>
        </w:rPr>
        <w:t>table 5.1.3B</w:t>
      </w:r>
      <w:r w:rsidR="004D5314" w:rsidRPr="00EA6639">
        <w:rPr>
          <w:rFonts w:cs="Arial"/>
          <w:szCs w:val="24"/>
        </w:rPr>
        <w:t xml:space="preserve"> </w:t>
      </w:r>
      <w:r w:rsidR="0047799E">
        <w:rPr>
          <w:rFonts w:cs="Arial"/>
          <w:szCs w:val="24"/>
        </w:rPr>
        <w:t>in</w:t>
      </w:r>
      <w:r w:rsidR="004D5314" w:rsidRPr="00EA6639">
        <w:rPr>
          <w:rFonts w:cs="Arial"/>
          <w:szCs w:val="24"/>
        </w:rPr>
        <w:t xml:space="preserve"> m2</w:t>
      </w:r>
      <w:r w:rsidR="00BF2A9C">
        <w:rPr>
          <w:rFonts w:cs="Arial"/>
          <w:szCs w:val="24"/>
        </w:rPr>
        <w:t>.</w:t>
      </w:r>
    </w:p>
    <w:p w14:paraId="1E8FA3B4" w14:textId="77777777" w:rsidR="00B423A2" w:rsidRDefault="00B423A2" w:rsidP="003B2CB3">
      <w:pPr>
        <w:pStyle w:val="BodyText"/>
        <w:tabs>
          <w:tab w:val="left" w:pos="851"/>
        </w:tabs>
        <w:spacing w:before="120" w:after="120"/>
        <w:jc w:val="left"/>
        <w:rPr>
          <w:rFonts w:cs="Arial"/>
          <w:szCs w:val="24"/>
        </w:rPr>
      </w:pPr>
    </w:p>
    <w:p w14:paraId="74D91F26" w14:textId="77777777" w:rsidR="003939A8" w:rsidRPr="005A6E55" w:rsidRDefault="003B2CB3" w:rsidP="003B2CB3">
      <w:pPr>
        <w:pStyle w:val="BodyText"/>
        <w:tabs>
          <w:tab w:val="left" w:pos="851"/>
        </w:tabs>
        <w:spacing w:before="120" w:after="120"/>
        <w:jc w:val="left"/>
        <w:rPr>
          <w:rFonts w:cs="Arial"/>
          <w:szCs w:val="24"/>
        </w:rPr>
      </w:pPr>
      <w:r>
        <w:rPr>
          <w:rFonts w:cs="Arial"/>
          <w:szCs w:val="24"/>
        </w:rPr>
        <w:t>K</w:t>
      </w:r>
      <w:r w:rsidR="001D08C6" w:rsidRPr="001D08C6">
        <w:rPr>
          <w:rFonts w:cs="Arial"/>
          <w:b/>
          <w:color w:val="000000" w:themeColor="text1"/>
          <w:szCs w:val="24"/>
        </w:rPr>
        <w:t>EY</w:t>
      </w:r>
    </w:p>
    <w:tbl>
      <w:tblPr>
        <w:tblpPr w:leftFromText="180" w:rightFromText="180" w:vertAnchor="text" w:horzAnchor="margin" w:tblpY="259"/>
        <w:tblW w:w="3686"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3686"/>
      </w:tblGrid>
      <w:tr w:rsidR="003B2CB3" w:rsidRPr="00672F06" w14:paraId="5F05690F" w14:textId="77777777" w:rsidTr="00360627">
        <w:trPr>
          <w:trHeight w:val="454"/>
        </w:trPr>
        <w:tc>
          <w:tcPr>
            <w:tcW w:w="3686" w:type="dxa"/>
            <w:shd w:val="clear" w:color="000000" w:fill="632523"/>
            <w:noWrap/>
            <w:vAlign w:val="center"/>
            <w:hideMark/>
          </w:tcPr>
          <w:p w14:paraId="488CDCF4" w14:textId="77777777" w:rsidR="003B2CB3" w:rsidRPr="00672F06" w:rsidRDefault="003B2CB3" w:rsidP="003B2CB3">
            <w:pPr>
              <w:spacing w:after="0"/>
              <w:jc w:val="left"/>
              <w:rPr>
                <w:rFonts w:ascii="Arial Narrow" w:hAnsi="Arial Narrow" w:cs="Arial"/>
                <w:color w:val="FFFFFF" w:themeColor="background1"/>
                <w:szCs w:val="24"/>
                <w:lang w:eastAsia="en-AU"/>
              </w:rPr>
            </w:pPr>
            <w:r w:rsidRPr="00672F06">
              <w:rPr>
                <w:rFonts w:ascii="Arial Narrow" w:hAnsi="Arial Narrow" w:cs="Arial"/>
                <w:color w:val="FFFFFF" w:themeColor="background1"/>
                <w:szCs w:val="24"/>
                <w:lang w:eastAsia="en-AU"/>
              </w:rPr>
              <w:t> Greater than 50,000 m2</w:t>
            </w:r>
          </w:p>
        </w:tc>
      </w:tr>
      <w:tr w:rsidR="003B2CB3" w:rsidRPr="00672F06" w14:paraId="22D9D756" w14:textId="77777777" w:rsidTr="00360627">
        <w:trPr>
          <w:trHeight w:val="454"/>
        </w:trPr>
        <w:tc>
          <w:tcPr>
            <w:tcW w:w="3686" w:type="dxa"/>
            <w:shd w:val="clear" w:color="000000" w:fill="953735"/>
            <w:noWrap/>
            <w:vAlign w:val="center"/>
            <w:hideMark/>
          </w:tcPr>
          <w:p w14:paraId="6D9C5E48" w14:textId="77777777" w:rsidR="003B2CB3" w:rsidRPr="00672F06" w:rsidRDefault="003B2CB3" w:rsidP="003B2CB3">
            <w:pPr>
              <w:spacing w:after="0"/>
              <w:jc w:val="left"/>
              <w:rPr>
                <w:rFonts w:ascii="Arial Narrow" w:hAnsi="Arial Narrow" w:cs="Arial"/>
                <w:color w:val="FFFFFF" w:themeColor="background1"/>
                <w:szCs w:val="24"/>
                <w:lang w:eastAsia="en-AU"/>
              </w:rPr>
            </w:pPr>
            <w:r w:rsidRPr="00672F06">
              <w:rPr>
                <w:rFonts w:ascii="Arial Narrow" w:hAnsi="Arial Narrow" w:cs="Arial"/>
                <w:color w:val="FFFFFF" w:themeColor="background1"/>
                <w:szCs w:val="24"/>
                <w:lang w:eastAsia="en-AU"/>
              </w:rPr>
              <w:t> Between 20,000 to 50,000 m2</w:t>
            </w:r>
          </w:p>
        </w:tc>
      </w:tr>
      <w:tr w:rsidR="003B2CB3" w:rsidRPr="00672F06" w14:paraId="5A2EE97F" w14:textId="77777777" w:rsidTr="00360627">
        <w:trPr>
          <w:trHeight w:val="454"/>
        </w:trPr>
        <w:tc>
          <w:tcPr>
            <w:tcW w:w="3686" w:type="dxa"/>
            <w:shd w:val="clear" w:color="000000" w:fill="D99795"/>
            <w:noWrap/>
            <w:vAlign w:val="center"/>
            <w:hideMark/>
          </w:tcPr>
          <w:p w14:paraId="1A26B65E" w14:textId="77777777" w:rsidR="003B2CB3" w:rsidRPr="00672F06" w:rsidRDefault="003B2CB3" w:rsidP="003B2CB3">
            <w:pPr>
              <w:spacing w:after="0"/>
              <w:jc w:val="left"/>
              <w:rPr>
                <w:rFonts w:ascii="Arial Narrow" w:hAnsi="Arial Narrow" w:cs="Arial"/>
                <w:color w:val="000000"/>
                <w:szCs w:val="24"/>
                <w:lang w:eastAsia="en-AU"/>
              </w:rPr>
            </w:pPr>
            <w:r w:rsidRPr="00672F06">
              <w:rPr>
                <w:rFonts w:ascii="Arial Narrow" w:hAnsi="Arial Narrow" w:cs="Arial"/>
                <w:color w:val="000000"/>
                <w:szCs w:val="24"/>
                <w:lang w:eastAsia="en-AU"/>
              </w:rPr>
              <w:t> Between 10,000 to 20,000 m2</w:t>
            </w:r>
          </w:p>
        </w:tc>
      </w:tr>
      <w:tr w:rsidR="003B2CB3" w:rsidRPr="00672F06" w14:paraId="7AE9E0C3" w14:textId="77777777" w:rsidTr="00360627">
        <w:trPr>
          <w:trHeight w:val="454"/>
        </w:trPr>
        <w:tc>
          <w:tcPr>
            <w:tcW w:w="3686" w:type="dxa"/>
            <w:shd w:val="clear" w:color="000000" w:fill="E6B9B8"/>
            <w:noWrap/>
            <w:vAlign w:val="center"/>
            <w:hideMark/>
          </w:tcPr>
          <w:p w14:paraId="54C09390" w14:textId="77777777" w:rsidR="003B2CB3" w:rsidRPr="00672F06" w:rsidRDefault="003B2CB3" w:rsidP="003B2CB3">
            <w:pPr>
              <w:spacing w:after="0"/>
              <w:jc w:val="left"/>
              <w:rPr>
                <w:rFonts w:ascii="Arial Narrow" w:hAnsi="Arial Narrow" w:cs="Arial"/>
                <w:color w:val="000000"/>
                <w:szCs w:val="24"/>
                <w:lang w:eastAsia="en-AU"/>
              </w:rPr>
            </w:pPr>
            <w:r w:rsidRPr="00672F06">
              <w:rPr>
                <w:rFonts w:ascii="Arial Narrow" w:hAnsi="Arial Narrow" w:cs="Arial"/>
                <w:color w:val="000000"/>
                <w:szCs w:val="24"/>
                <w:lang w:eastAsia="en-AU"/>
              </w:rPr>
              <w:t> Between 1,000 to 10,000 m2</w:t>
            </w:r>
          </w:p>
        </w:tc>
      </w:tr>
      <w:tr w:rsidR="003B2CB3" w:rsidRPr="00672F06" w14:paraId="0985D0A0" w14:textId="77777777" w:rsidTr="00360627">
        <w:trPr>
          <w:trHeight w:val="454"/>
        </w:trPr>
        <w:tc>
          <w:tcPr>
            <w:tcW w:w="3686" w:type="dxa"/>
            <w:shd w:val="clear" w:color="000000" w:fill="F2DDDC"/>
            <w:noWrap/>
            <w:vAlign w:val="center"/>
            <w:hideMark/>
          </w:tcPr>
          <w:p w14:paraId="796096CB" w14:textId="77777777" w:rsidR="003B2CB3" w:rsidRPr="00672F06" w:rsidRDefault="003B2CB3" w:rsidP="003B2CB3">
            <w:pPr>
              <w:spacing w:after="0"/>
              <w:jc w:val="left"/>
              <w:rPr>
                <w:rFonts w:ascii="Arial Narrow" w:hAnsi="Arial Narrow" w:cs="Arial"/>
                <w:color w:val="000000"/>
                <w:szCs w:val="24"/>
                <w:lang w:eastAsia="en-AU"/>
              </w:rPr>
            </w:pPr>
            <w:r w:rsidRPr="00672F06">
              <w:rPr>
                <w:rFonts w:ascii="Arial Narrow" w:hAnsi="Arial Narrow" w:cs="Arial"/>
                <w:color w:val="000000"/>
                <w:szCs w:val="24"/>
                <w:lang w:eastAsia="en-AU"/>
              </w:rPr>
              <w:t> Less than 1,000 m2</w:t>
            </w:r>
          </w:p>
        </w:tc>
      </w:tr>
    </w:tbl>
    <w:p w14:paraId="6DA14CBC" w14:textId="77777777" w:rsidR="005A6E55" w:rsidRPr="001D08C6" w:rsidRDefault="005A6E55" w:rsidP="005A6E55">
      <w:pPr>
        <w:pStyle w:val="BodyText"/>
        <w:tabs>
          <w:tab w:val="left" w:pos="851"/>
        </w:tabs>
        <w:spacing w:after="120"/>
        <w:jc w:val="center"/>
        <w:rPr>
          <w:rFonts w:cs="Arial"/>
          <w:b/>
          <w:color w:val="000000" w:themeColor="text1"/>
          <w:szCs w:val="24"/>
        </w:rPr>
      </w:pPr>
    </w:p>
    <w:p w14:paraId="6009B47E" w14:textId="77777777" w:rsidR="00BE23D9" w:rsidRDefault="00BE23D9" w:rsidP="003939A8">
      <w:pPr>
        <w:pStyle w:val="BodyText"/>
        <w:tabs>
          <w:tab w:val="left" w:pos="851"/>
        </w:tabs>
        <w:spacing w:after="120"/>
        <w:rPr>
          <w:rFonts w:cs="Arial"/>
          <w:color w:val="000000" w:themeColor="text1"/>
          <w:szCs w:val="24"/>
        </w:rPr>
      </w:pPr>
    </w:p>
    <w:p w14:paraId="6F5E2AB3" w14:textId="77777777" w:rsidR="00BE23D9" w:rsidRDefault="00BE23D9" w:rsidP="003939A8">
      <w:pPr>
        <w:pStyle w:val="BodyText"/>
        <w:tabs>
          <w:tab w:val="left" w:pos="851"/>
        </w:tabs>
        <w:spacing w:after="120"/>
        <w:rPr>
          <w:rFonts w:cs="Arial"/>
          <w:color w:val="000000" w:themeColor="text1"/>
          <w:szCs w:val="24"/>
        </w:rPr>
      </w:pPr>
    </w:p>
    <w:p w14:paraId="0A990892" w14:textId="77777777" w:rsidR="00BE23D9" w:rsidRDefault="00BE23D9" w:rsidP="003939A8">
      <w:pPr>
        <w:pStyle w:val="BodyText"/>
        <w:tabs>
          <w:tab w:val="left" w:pos="851"/>
        </w:tabs>
        <w:spacing w:after="120"/>
        <w:rPr>
          <w:rFonts w:cs="Arial"/>
          <w:color w:val="000000" w:themeColor="text1"/>
          <w:szCs w:val="24"/>
        </w:rPr>
      </w:pPr>
    </w:p>
    <w:p w14:paraId="2BEA801D" w14:textId="77777777" w:rsidR="00BE23D9" w:rsidRDefault="00BE23D9" w:rsidP="003939A8">
      <w:pPr>
        <w:pStyle w:val="BodyText"/>
        <w:tabs>
          <w:tab w:val="left" w:pos="851"/>
        </w:tabs>
        <w:spacing w:after="120"/>
        <w:rPr>
          <w:rFonts w:cs="Arial"/>
          <w:color w:val="000000" w:themeColor="text1"/>
          <w:szCs w:val="24"/>
        </w:rPr>
      </w:pPr>
    </w:p>
    <w:p w14:paraId="5E419F6A" w14:textId="77777777" w:rsidR="00BE23D9" w:rsidRDefault="00BE23D9" w:rsidP="003939A8">
      <w:pPr>
        <w:pStyle w:val="BodyText"/>
        <w:tabs>
          <w:tab w:val="left" w:pos="851"/>
        </w:tabs>
        <w:spacing w:after="120"/>
        <w:rPr>
          <w:rFonts w:cs="Arial"/>
          <w:color w:val="000000" w:themeColor="text1"/>
          <w:szCs w:val="24"/>
        </w:rPr>
      </w:pPr>
    </w:p>
    <w:p w14:paraId="168D9F45" w14:textId="77777777" w:rsidR="003B2CB3" w:rsidRDefault="003B2CB3" w:rsidP="00463A3D">
      <w:pPr>
        <w:pStyle w:val="BodyText"/>
        <w:tabs>
          <w:tab w:val="left" w:pos="851"/>
        </w:tabs>
        <w:spacing w:before="120" w:after="120"/>
        <w:jc w:val="left"/>
        <w:rPr>
          <w:rFonts w:cs="Arial"/>
          <w:b/>
          <w:i/>
          <w:color w:val="0070C0"/>
          <w:szCs w:val="24"/>
        </w:rPr>
      </w:pPr>
    </w:p>
    <w:p w14:paraId="5223D3E9" w14:textId="77777777" w:rsidR="003B2CB3" w:rsidRDefault="003B2CB3" w:rsidP="00463A3D">
      <w:pPr>
        <w:pStyle w:val="BodyText"/>
        <w:tabs>
          <w:tab w:val="left" w:pos="851"/>
        </w:tabs>
        <w:spacing w:before="120" w:after="120"/>
        <w:jc w:val="left"/>
        <w:rPr>
          <w:rFonts w:cs="Arial"/>
          <w:b/>
          <w:i/>
          <w:color w:val="0070C0"/>
          <w:szCs w:val="24"/>
        </w:rPr>
        <w:sectPr w:rsidR="003B2CB3" w:rsidSect="000C55EE">
          <w:pgSz w:w="11907" w:h="16840" w:code="9"/>
          <w:pgMar w:top="567" w:right="1440" w:bottom="1440" w:left="1440" w:header="624" w:footer="510" w:gutter="0"/>
          <w:cols w:space="720"/>
          <w:docGrid w:linePitch="360"/>
        </w:sectPr>
      </w:pPr>
    </w:p>
    <w:tbl>
      <w:tblPr>
        <w:tblpPr w:leftFromText="180" w:rightFromText="180" w:vertAnchor="text" w:horzAnchor="margin" w:tblpY="699"/>
        <w:tblW w:w="5280" w:type="pct"/>
        <w:tblLook w:val="04A0" w:firstRow="1" w:lastRow="0" w:firstColumn="1" w:lastColumn="0" w:noHBand="0" w:noVBand="1"/>
      </w:tblPr>
      <w:tblGrid>
        <w:gridCol w:w="1057"/>
        <w:gridCol w:w="1059"/>
        <w:gridCol w:w="1247"/>
        <w:gridCol w:w="1709"/>
        <w:gridCol w:w="1274"/>
        <w:gridCol w:w="1562"/>
        <w:gridCol w:w="1556"/>
        <w:gridCol w:w="1562"/>
        <w:gridCol w:w="1724"/>
        <w:gridCol w:w="1959"/>
      </w:tblGrid>
      <w:tr w:rsidR="003B2CB3" w:rsidRPr="008B4EE3" w14:paraId="21B721B6" w14:textId="77777777" w:rsidTr="003B2CB3">
        <w:trPr>
          <w:trHeight w:val="336"/>
        </w:trPr>
        <w:tc>
          <w:tcPr>
            <w:tcW w:w="359" w:type="pct"/>
            <w:vMerge w:val="restart"/>
            <w:tcBorders>
              <w:top w:val="single" w:sz="8" w:space="0" w:color="auto"/>
              <w:left w:val="single" w:sz="8" w:space="0" w:color="auto"/>
              <w:bottom w:val="single" w:sz="12" w:space="0" w:color="FFFFFF"/>
              <w:right w:val="single" w:sz="8" w:space="0" w:color="FFFFFF"/>
            </w:tcBorders>
            <w:shd w:val="clear" w:color="000000" w:fill="4BACC6"/>
            <w:noWrap/>
            <w:vAlign w:val="center"/>
            <w:hideMark/>
          </w:tcPr>
          <w:p w14:paraId="4385742D"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lastRenderedPageBreak/>
              <w:t>Type</w:t>
            </w:r>
          </w:p>
        </w:tc>
        <w:tc>
          <w:tcPr>
            <w:tcW w:w="360" w:type="pct"/>
            <w:vMerge w:val="restart"/>
            <w:tcBorders>
              <w:top w:val="single" w:sz="8" w:space="0" w:color="auto"/>
              <w:left w:val="single" w:sz="8" w:space="0" w:color="FFFFFF"/>
              <w:bottom w:val="single" w:sz="12" w:space="0" w:color="FFFFFF"/>
              <w:right w:val="single" w:sz="8" w:space="0" w:color="FFFFFF"/>
            </w:tcBorders>
            <w:shd w:val="clear" w:color="000000" w:fill="4BACC6"/>
            <w:noWrap/>
            <w:vAlign w:val="center"/>
            <w:hideMark/>
          </w:tcPr>
          <w:p w14:paraId="71C6B6B7"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Condition</w:t>
            </w:r>
          </w:p>
        </w:tc>
        <w:tc>
          <w:tcPr>
            <w:tcW w:w="424" w:type="pct"/>
            <w:vMerge w:val="restart"/>
            <w:tcBorders>
              <w:top w:val="single" w:sz="8" w:space="0" w:color="auto"/>
              <w:left w:val="single" w:sz="8" w:space="0" w:color="FFFFFF"/>
              <w:bottom w:val="single" w:sz="12" w:space="0" w:color="FFFFFF"/>
              <w:right w:val="single" w:sz="8" w:space="0" w:color="FFFFFF"/>
            </w:tcBorders>
            <w:shd w:val="clear" w:color="000000" w:fill="4BACC6"/>
            <w:noWrap/>
            <w:vAlign w:val="center"/>
            <w:hideMark/>
          </w:tcPr>
          <w:p w14:paraId="6F5C788C"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Service unit</w:t>
            </w:r>
          </w:p>
        </w:tc>
        <w:tc>
          <w:tcPr>
            <w:tcW w:w="3191" w:type="pct"/>
            <w:gridSpan w:val="6"/>
            <w:tcBorders>
              <w:top w:val="single" w:sz="8" w:space="0" w:color="auto"/>
              <w:left w:val="nil"/>
              <w:bottom w:val="single" w:sz="8" w:space="0" w:color="FFFFFF"/>
              <w:right w:val="single" w:sz="8" w:space="0" w:color="FFFFFF"/>
            </w:tcBorders>
            <w:shd w:val="clear" w:color="000000" w:fill="4BACC6"/>
            <w:noWrap/>
            <w:vAlign w:val="center"/>
            <w:hideMark/>
          </w:tcPr>
          <w:p w14:paraId="49898C9E"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Age of Footpath (years)</w:t>
            </w:r>
          </w:p>
        </w:tc>
        <w:tc>
          <w:tcPr>
            <w:tcW w:w="666" w:type="pct"/>
            <w:vMerge w:val="restart"/>
            <w:tcBorders>
              <w:top w:val="single" w:sz="8" w:space="0" w:color="auto"/>
              <w:left w:val="single" w:sz="8" w:space="0" w:color="FFFFFF"/>
              <w:bottom w:val="single" w:sz="12" w:space="0" w:color="FFFFFF"/>
              <w:right w:val="single" w:sz="8" w:space="0" w:color="auto"/>
            </w:tcBorders>
            <w:shd w:val="clear" w:color="000000" w:fill="4BACC6"/>
            <w:vAlign w:val="center"/>
            <w:hideMark/>
          </w:tcPr>
          <w:p w14:paraId="3CE469AF"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Average age</w:t>
            </w:r>
          </w:p>
        </w:tc>
      </w:tr>
      <w:tr w:rsidR="003B2CB3" w:rsidRPr="008B4EE3" w14:paraId="01A6F3A3" w14:textId="77777777" w:rsidTr="00DC3BEB">
        <w:trPr>
          <w:trHeight w:val="336"/>
        </w:trPr>
        <w:tc>
          <w:tcPr>
            <w:tcW w:w="359" w:type="pct"/>
            <w:vMerge/>
            <w:tcBorders>
              <w:top w:val="single" w:sz="12" w:space="0" w:color="FFFFFF"/>
              <w:left w:val="single" w:sz="8" w:space="0" w:color="auto"/>
              <w:bottom w:val="single" w:sz="12" w:space="0" w:color="FFFFFF"/>
              <w:right w:val="single" w:sz="8" w:space="0" w:color="FFFFFF"/>
            </w:tcBorders>
            <w:vAlign w:val="center"/>
            <w:hideMark/>
          </w:tcPr>
          <w:p w14:paraId="0995135E" w14:textId="77777777" w:rsidR="003B2CB3" w:rsidRPr="008B4EE3" w:rsidRDefault="003B2CB3" w:rsidP="003B2CB3">
            <w:pPr>
              <w:spacing w:after="0"/>
              <w:jc w:val="left"/>
              <w:rPr>
                <w:rFonts w:ascii="Arial Narrow" w:hAnsi="Arial Narrow"/>
                <w:color w:val="FFFFFF"/>
                <w:szCs w:val="24"/>
                <w:lang w:eastAsia="en-AU"/>
              </w:rPr>
            </w:pPr>
          </w:p>
        </w:tc>
        <w:tc>
          <w:tcPr>
            <w:tcW w:w="360" w:type="pct"/>
            <w:vMerge/>
            <w:tcBorders>
              <w:top w:val="single" w:sz="12" w:space="0" w:color="FFFFFF"/>
              <w:left w:val="single" w:sz="8" w:space="0" w:color="FFFFFF"/>
              <w:bottom w:val="single" w:sz="8" w:space="0" w:color="FFFFFF" w:themeColor="background1"/>
              <w:right w:val="single" w:sz="8" w:space="0" w:color="FFFFFF"/>
            </w:tcBorders>
            <w:vAlign w:val="center"/>
            <w:hideMark/>
          </w:tcPr>
          <w:p w14:paraId="3714C53B" w14:textId="77777777" w:rsidR="003B2CB3" w:rsidRPr="008B4EE3" w:rsidRDefault="003B2CB3" w:rsidP="003B2CB3">
            <w:pPr>
              <w:spacing w:after="0"/>
              <w:jc w:val="left"/>
              <w:rPr>
                <w:rFonts w:ascii="Arial Narrow" w:hAnsi="Arial Narrow"/>
                <w:color w:val="FFFFFF"/>
                <w:szCs w:val="24"/>
                <w:lang w:eastAsia="en-AU"/>
              </w:rPr>
            </w:pPr>
          </w:p>
        </w:tc>
        <w:tc>
          <w:tcPr>
            <w:tcW w:w="424" w:type="pct"/>
            <w:vMerge/>
            <w:tcBorders>
              <w:top w:val="single" w:sz="12" w:space="0" w:color="FFFFFF"/>
              <w:left w:val="single" w:sz="8" w:space="0" w:color="FFFFFF"/>
              <w:bottom w:val="single" w:sz="8" w:space="0" w:color="FFFFFF" w:themeColor="background1"/>
              <w:right w:val="single" w:sz="8" w:space="0" w:color="FFFFFF"/>
            </w:tcBorders>
            <w:vAlign w:val="center"/>
            <w:hideMark/>
          </w:tcPr>
          <w:p w14:paraId="32DF383C" w14:textId="77777777" w:rsidR="003B2CB3" w:rsidRPr="008B4EE3" w:rsidRDefault="003B2CB3" w:rsidP="003B2CB3">
            <w:pPr>
              <w:spacing w:after="0"/>
              <w:jc w:val="left"/>
              <w:rPr>
                <w:rFonts w:ascii="Arial Narrow" w:hAnsi="Arial Narrow"/>
                <w:color w:val="FFFFFF"/>
                <w:szCs w:val="24"/>
                <w:lang w:eastAsia="en-AU"/>
              </w:rPr>
            </w:pPr>
          </w:p>
        </w:tc>
        <w:tc>
          <w:tcPr>
            <w:tcW w:w="581" w:type="pct"/>
            <w:tcBorders>
              <w:top w:val="nil"/>
              <w:left w:val="nil"/>
              <w:bottom w:val="single" w:sz="8" w:space="0" w:color="FFFFFF" w:themeColor="background1"/>
              <w:right w:val="single" w:sz="8" w:space="0" w:color="FFFFFF"/>
            </w:tcBorders>
            <w:shd w:val="clear" w:color="000000" w:fill="4BACC6"/>
            <w:noWrap/>
            <w:vAlign w:val="center"/>
            <w:hideMark/>
          </w:tcPr>
          <w:p w14:paraId="387D1A6F"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0 to 5</w:t>
            </w:r>
          </w:p>
        </w:tc>
        <w:tc>
          <w:tcPr>
            <w:tcW w:w="433" w:type="pct"/>
            <w:tcBorders>
              <w:top w:val="nil"/>
              <w:left w:val="nil"/>
              <w:bottom w:val="single" w:sz="8" w:space="0" w:color="FFFFFF" w:themeColor="background1"/>
              <w:right w:val="single" w:sz="8" w:space="0" w:color="FFFFFF"/>
            </w:tcBorders>
            <w:shd w:val="clear" w:color="000000" w:fill="4BACC6"/>
            <w:noWrap/>
            <w:vAlign w:val="center"/>
            <w:hideMark/>
          </w:tcPr>
          <w:p w14:paraId="326BD67D"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6 to 10</w:t>
            </w:r>
          </w:p>
        </w:tc>
        <w:tc>
          <w:tcPr>
            <w:tcW w:w="531" w:type="pct"/>
            <w:tcBorders>
              <w:top w:val="nil"/>
              <w:left w:val="nil"/>
              <w:bottom w:val="single" w:sz="8" w:space="0" w:color="FFFFFF" w:themeColor="background1"/>
              <w:right w:val="single" w:sz="8" w:space="0" w:color="FFFFFF"/>
            </w:tcBorders>
            <w:shd w:val="clear" w:color="000000" w:fill="4BACC6"/>
            <w:noWrap/>
            <w:vAlign w:val="center"/>
            <w:hideMark/>
          </w:tcPr>
          <w:p w14:paraId="6E103BCB"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11 to 15</w:t>
            </w:r>
          </w:p>
        </w:tc>
        <w:tc>
          <w:tcPr>
            <w:tcW w:w="529" w:type="pct"/>
            <w:tcBorders>
              <w:top w:val="nil"/>
              <w:left w:val="nil"/>
              <w:bottom w:val="single" w:sz="8" w:space="0" w:color="FFFFFF" w:themeColor="background1"/>
              <w:right w:val="single" w:sz="8" w:space="0" w:color="FFFFFF"/>
            </w:tcBorders>
            <w:shd w:val="clear" w:color="000000" w:fill="4BACC6"/>
            <w:noWrap/>
            <w:vAlign w:val="center"/>
            <w:hideMark/>
          </w:tcPr>
          <w:p w14:paraId="7FD2D866"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16 to 20</w:t>
            </w:r>
          </w:p>
        </w:tc>
        <w:tc>
          <w:tcPr>
            <w:tcW w:w="531" w:type="pct"/>
            <w:tcBorders>
              <w:top w:val="nil"/>
              <w:left w:val="nil"/>
              <w:bottom w:val="single" w:sz="8" w:space="0" w:color="FFFFFF" w:themeColor="background1"/>
              <w:right w:val="single" w:sz="8" w:space="0" w:color="FFFFFF"/>
            </w:tcBorders>
            <w:shd w:val="clear" w:color="000000" w:fill="4BACC6"/>
            <w:noWrap/>
            <w:vAlign w:val="center"/>
            <w:hideMark/>
          </w:tcPr>
          <w:p w14:paraId="56C4B26C"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21 to 25</w:t>
            </w:r>
          </w:p>
        </w:tc>
        <w:tc>
          <w:tcPr>
            <w:tcW w:w="586" w:type="pct"/>
            <w:tcBorders>
              <w:top w:val="nil"/>
              <w:left w:val="nil"/>
              <w:bottom w:val="single" w:sz="8" w:space="0" w:color="FFFFFF" w:themeColor="background1"/>
              <w:right w:val="single" w:sz="8" w:space="0" w:color="FFFFFF"/>
            </w:tcBorders>
            <w:shd w:val="clear" w:color="000000" w:fill="4BACC6"/>
            <w:noWrap/>
            <w:vAlign w:val="center"/>
            <w:hideMark/>
          </w:tcPr>
          <w:p w14:paraId="52FDAC54" w14:textId="77777777" w:rsidR="003B2CB3" w:rsidRPr="008B4EE3" w:rsidRDefault="003B2CB3"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&gt;25</w:t>
            </w:r>
          </w:p>
        </w:tc>
        <w:tc>
          <w:tcPr>
            <w:tcW w:w="666" w:type="pct"/>
            <w:vMerge/>
            <w:tcBorders>
              <w:top w:val="single" w:sz="12" w:space="0" w:color="FFFFFF"/>
              <w:left w:val="single" w:sz="8" w:space="0" w:color="FFFFFF"/>
              <w:bottom w:val="single" w:sz="12" w:space="0" w:color="FFFFFF"/>
              <w:right w:val="single" w:sz="8" w:space="0" w:color="auto"/>
            </w:tcBorders>
            <w:vAlign w:val="center"/>
            <w:hideMark/>
          </w:tcPr>
          <w:p w14:paraId="68C8FD36" w14:textId="77777777" w:rsidR="003B2CB3" w:rsidRPr="008B4EE3" w:rsidRDefault="003B2CB3" w:rsidP="003B2CB3">
            <w:pPr>
              <w:spacing w:after="0"/>
              <w:jc w:val="left"/>
              <w:rPr>
                <w:rFonts w:ascii="Arial Narrow" w:hAnsi="Arial Narrow"/>
                <w:color w:val="FFFFFF"/>
                <w:szCs w:val="24"/>
                <w:lang w:eastAsia="en-AU"/>
              </w:rPr>
            </w:pPr>
          </w:p>
        </w:tc>
      </w:tr>
      <w:tr w:rsidR="00DC3BEB" w:rsidRPr="008B4EE3" w14:paraId="1957B4B2" w14:textId="77777777" w:rsidTr="00DC3BEB">
        <w:trPr>
          <w:trHeight w:val="336"/>
        </w:trPr>
        <w:tc>
          <w:tcPr>
            <w:tcW w:w="359" w:type="pct"/>
            <w:vMerge w:val="restart"/>
            <w:tcBorders>
              <w:top w:val="nil"/>
              <w:left w:val="single" w:sz="8" w:space="0" w:color="auto"/>
              <w:right w:val="single" w:sz="8" w:space="0" w:color="FFFFFF" w:themeColor="background1"/>
            </w:tcBorders>
            <w:shd w:val="clear" w:color="000000" w:fill="4BACC6"/>
            <w:vAlign w:val="bottom"/>
            <w:hideMark/>
          </w:tcPr>
          <w:p w14:paraId="7CDD60B8"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50 year useful life</w:t>
            </w:r>
          </w:p>
          <w:p w14:paraId="53D46F00"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Concrete</w:t>
            </w:r>
          </w:p>
          <w:p w14:paraId="17B337A2"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Brick</w:t>
            </w:r>
          </w:p>
          <w:p w14:paraId="5169F327" w14:textId="77777777" w:rsidR="00DC3BEB" w:rsidRPr="008B4EE3" w:rsidRDefault="00DC3BEB" w:rsidP="003B2CB3">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p w14:paraId="68A20CF0" w14:textId="77777777" w:rsidR="00DC3BEB" w:rsidRPr="008B4EE3" w:rsidRDefault="00DC3BEB" w:rsidP="003B2CB3">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p w14:paraId="2BD73100" w14:textId="77777777" w:rsidR="00DC3BEB" w:rsidRPr="008B4EE3" w:rsidRDefault="00DC3BEB" w:rsidP="00140CAE">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797F905B"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1</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DD1FE9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6C202FA2"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25,748</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9D038B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8,870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341C7675"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24,606</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42F9464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1,921</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7009576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2,536</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16BB75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val="restart"/>
            <w:tcBorders>
              <w:top w:val="nil"/>
              <w:left w:val="single" w:sz="8" w:space="0" w:color="FFFFFF" w:themeColor="background1"/>
              <w:bottom w:val="single" w:sz="12" w:space="0" w:color="FFFFFF"/>
              <w:right w:val="single" w:sz="8" w:space="0" w:color="auto"/>
            </w:tcBorders>
            <w:shd w:val="clear" w:color="000000" w:fill="B6DDE8"/>
            <w:vAlign w:val="center"/>
            <w:hideMark/>
          </w:tcPr>
          <w:p w14:paraId="0C64FD5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7.5</w:t>
            </w:r>
          </w:p>
        </w:tc>
      </w:tr>
      <w:tr w:rsidR="00DC3BEB" w:rsidRPr="008B4EE3" w14:paraId="4577C441" w14:textId="77777777" w:rsidTr="00DC3BEB">
        <w:trPr>
          <w:trHeight w:val="336"/>
        </w:trPr>
        <w:tc>
          <w:tcPr>
            <w:tcW w:w="359" w:type="pct"/>
            <w:vMerge/>
            <w:tcBorders>
              <w:left w:val="single" w:sz="8" w:space="0" w:color="auto"/>
              <w:right w:val="single" w:sz="8" w:space="0" w:color="FFFFFF" w:themeColor="background1"/>
            </w:tcBorders>
            <w:vAlign w:val="center"/>
            <w:hideMark/>
          </w:tcPr>
          <w:p w14:paraId="54BBCC15"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3911D0B"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113F98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665965CB"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164,409</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0EA31935"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73,275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220AAE6B"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105,792</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0ED20023"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28,277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95BFA3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2,124</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489AA5A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135</w:t>
            </w:r>
          </w:p>
        </w:tc>
        <w:tc>
          <w:tcPr>
            <w:tcW w:w="666" w:type="pct"/>
            <w:vMerge/>
            <w:tcBorders>
              <w:top w:val="nil"/>
              <w:left w:val="single" w:sz="8" w:space="0" w:color="FFFFFF" w:themeColor="background1"/>
              <w:bottom w:val="single" w:sz="12" w:space="0" w:color="FFFFFF"/>
              <w:right w:val="single" w:sz="8" w:space="0" w:color="auto"/>
            </w:tcBorders>
            <w:vAlign w:val="center"/>
            <w:hideMark/>
          </w:tcPr>
          <w:p w14:paraId="6FD124A5"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14F425C0" w14:textId="77777777" w:rsidTr="00DC3BEB">
        <w:trPr>
          <w:trHeight w:val="336"/>
        </w:trPr>
        <w:tc>
          <w:tcPr>
            <w:tcW w:w="359" w:type="pct"/>
            <w:vMerge/>
            <w:tcBorders>
              <w:left w:val="single" w:sz="8" w:space="0" w:color="auto"/>
              <w:right w:val="single" w:sz="8" w:space="0" w:color="FFFFFF" w:themeColor="background1"/>
            </w:tcBorders>
            <w:vAlign w:val="center"/>
            <w:hideMark/>
          </w:tcPr>
          <w:p w14:paraId="1EB0C443"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7E65FF39"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2</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9FD397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7291C17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4,034</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CB830D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2,712</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2136D245"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22,025</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4F2D67F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14,674</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1BF9A8A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5,078</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3C8AEB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1,283</w:t>
            </w:r>
          </w:p>
        </w:tc>
        <w:tc>
          <w:tcPr>
            <w:tcW w:w="666" w:type="pct"/>
            <w:vMerge w:val="restart"/>
            <w:tcBorders>
              <w:top w:val="nil"/>
              <w:left w:val="single" w:sz="8" w:space="0" w:color="FFFFFF" w:themeColor="background1"/>
              <w:bottom w:val="single" w:sz="12" w:space="0" w:color="FFFFFF"/>
              <w:right w:val="single" w:sz="8" w:space="0" w:color="auto"/>
            </w:tcBorders>
            <w:shd w:val="clear" w:color="000000" w:fill="B6DDE8"/>
            <w:vAlign w:val="center"/>
            <w:hideMark/>
          </w:tcPr>
          <w:p w14:paraId="54E29ED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16.2</w:t>
            </w:r>
          </w:p>
        </w:tc>
      </w:tr>
      <w:tr w:rsidR="00DC3BEB" w:rsidRPr="008B4EE3" w14:paraId="10180E37" w14:textId="77777777" w:rsidTr="00DC3BEB">
        <w:trPr>
          <w:trHeight w:val="336"/>
        </w:trPr>
        <w:tc>
          <w:tcPr>
            <w:tcW w:w="359" w:type="pct"/>
            <w:vMerge/>
            <w:tcBorders>
              <w:left w:val="single" w:sz="8" w:space="0" w:color="auto"/>
              <w:right w:val="single" w:sz="8" w:space="0" w:color="FFFFFF" w:themeColor="background1"/>
            </w:tcBorders>
            <w:vAlign w:val="center"/>
            <w:hideMark/>
          </w:tcPr>
          <w:p w14:paraId="7558FE74"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7226A1D2"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4F1AF4E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831B58E"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8,958</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060EE38E"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54,575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043C5F55"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138,521</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1B2201D2"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171,997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02AC82C6"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61,390</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2F21A339"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28,741</w:t>
            </w:r>
          </w:p>
        </w:tc>
        <w:tc>
          <w:tcPr>
            <w:tcW w:w="666" w:type="pct"/>
            <w:vMerge/>
            <w:tcBorders>
              <w:top w:val="nil"/>
              <w:left w:val="single" w:sz="8" w:space="0" w:color="FFFFFF" w:themeColor="background1"/>
              <w:bottom w:val="single" w:sz="12" w:space="0" w:color="FFFFFF"/>
              <w:right w:val="single" w:sz="8" w:space="0" w:color="auto"/>
            </w:tcBorders>
            <w:vAlign w:val="center"/>
            <w:hideMark/>
          </w:tcPr>
          <w:p w14:paraId="387F8B84"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53DB2B02" w14:textId="77777777" w:rsidTr="00DC3BEB">
        <w:trPr>
          <w:trHeight w:val="336"/>
        </w:trPr>
        <w:tc>
          <w:tcPr>
            <w:tcW w:w="359" w:type="pct"/>
            <w:vMerge/>
            <w:tcBorders>
              <w:left w:val="single" w:sz="8" w:space="0" w:color="auto"/>
              <w:right w:val="single" w:sz="8" w:space="0" w:color="FFFFFF" w:themeColor="background1"/>
            </w:tcBorders>
            <w:vAlign w:val="center"/>
            <w:hideMark/>
          </w:tcPr>
          <w:p w14:paraId="05E5FD7F"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633A9660"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3</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59A7C54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4481DE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DB0942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1,908</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6A3005C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2,976</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4F59FE2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16,570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4A770E3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4,238</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5469C9E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448</w:t>
            </w:r>
          </w:p>
        </w:tc>
        <w:tc>
          <w:tcPr>
            <w:tcW w:w="666" w:type="pct"/>
            <w:vMerge w:val="restart"/>
            <w:tcBorders>
              <w:top w:val="nil"/>
              <w:left w:val="single" w:sz="8" w:space="0" w:color="FFFFFF" w:themeColor="background1"/>
              <w:bottom w:val="single" w:sz="12" w:space="0" w:color="FFFFFF"/>
              <w:right w:val="single" w:sz="8" w:space="0" w:color="auto"/>
            </w:tcBorders>
            <w:shd w:val="clear" w:color="000000" w:fill="B6DDE8"/>
            <w:vAlign w:val="center"/>
            <w:hideMark/>
          </w:tcPr>
          <w:p w14:paraId="7973359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18.8</w:t>
            </w:r>
          </w:p>
        </w:tc>
      </w:tr>
      <w:tr w:rsidR="00DC3BEB" w:rsidRPr="008B4EE3" w14:paraId="6C532D56" w14:textId="77777777" w:rsidTr="00DC3BEB">
        <w:trPr>
          <w:trHeight w:val="336"/>
        </w:trPr>
        <w:tc>
          <w:tcPr>
            <w:tcW w:w="359" w:type="pct"/>
            <w:vMerge/>
            <w:tcBorders>
              <w:left w:val="single" w:sz="8" w:space="0" w:color="auto"/>
              <w:right w:val="single" w:sz="8" w:space="0" w:color="FFFFFF" w:themeColor="background1"/>
            </w:tcBorders>
            <w:shd w:val="clear" w:color="000000" w:fill="4BACC6"/>
            <w:noWrap/>
            <w:vAlign w:val="center"/>
            <w:hideMark/>
          </w:tcPr>
          <w:p w14:paraId="1A0DC711"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D9A9AC3"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4F2FFE8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7F44A37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268</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740C47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7,156</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5ABD9272"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30,179</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2523"/>
            <w:noWrap/>
            <w:vAlign w:val="center"/>
            <w:hideMark/>
          </w:tcPr>
          <w:p w14:paraId="35A8065E"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85,955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0A090DA8"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42,413</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185DA0C7"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22,160</w:t>
            </w:r>
          </w:p>
        </w:tc>
        <w:tc>
          <w:tcPr>
            <w:tcW w:w="666" w:type="pct"/>
            <w:vMerge/>
            <w:tcBorders>
              <w:top w:val="nil"/>
              <w:left w:val="single" w:sz="8" w:space="0" w:color="FFFFFF" w:themeColor="background1"/>
              <w:bottom w:val="single" w:sz="12" w:space="0" w:color="FFFFFF"/>
              <w:right w:val="single" w:sz="8" w:space="0" w:color="auto"/>
            </w:tcBorders>
            <w:vAlign w:val="center"/>
            <w:hideMark/>
          </w:tcPr>
          <w:p w14:paraId="5AEDB55A"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42D2911B" w14:textId="77777777" w:rsidTr="00DC3BEB">
        <w:trPr>
          <w:trHeight w:val="336"/>
        </w:trPr>
        <w:tc>
          <w:tcPr>
            <w:tcW w:w="359" w:type="pct"/>
            <w:vMerge/>
            <w:tcBorders>
              <w:left w:val="single" w:sz="8" w:space="0" w:color="auto"/>
              <w:right w:val="single" w:sz="8" w:space="0" w:color="FFFFFF" w:themeColor="background1"/>
            </w:tcBorders>
            <w:shd w:val="clear" w:color="000000" w:fill="4BACC6"/>
            <w:noWrap/>
            <w:vAlign w:val="center"/>
            <w:hideMark/>
          </w:tcPr>
          <w:p w14:paraId="4DFF2ECF"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51B38AB3"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4</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6FDCC42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35DDED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4339B8E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731</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1876C8D0"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5,105</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002A01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3,167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1FC3711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768</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7D71D3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val="restart"/>
            <w:tcBorders>
              <w:top w:val="nil"/>
              <w:left w:val="single" w:sz="8" w:space="0" w:color="FFFFFF" w:themeColor="background1"/>
              <w:bottom w:val="single" w:sz="12" w:space="0" w:color="FFFFFF"/>
              <w:right w:val="single" w:sz="8" w:space="0" w:color="auto"/>
            </w:tcBorders>
            <w:shd w:val="clear" w:color="000000" w:fill="B6DDE8"/>
            <w:vAlign w:val="center"/>
            <w:hideMark/>
          </w:tcPr>
          <w:p w14:paraId="0288528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19.2</w:t>
            </w:r>
          </w:p>
        </w:tc>
      </w:tr>
      <w:tr w:rsidR="00DC3BEB" w:rsidRPr="008B4EE3" w14:paraId="1BE8AEA5" w14:textId="77777777" w:rsidTr="00DC3BEB">
        <w:trPr>
          <w:trHeight w:val="336"/>
        </w:trPr>
        <w:tc>
          <w:tcPr>
            <w:tcW w:w="359" w:type="pct"/>
            <w:vMerge/>
            <w:tcBorders>
              <w:left w:val="single" w:sz="8" w:space="0" w:color="auto"/>
              <w:right w:val="single" w:sz="8" w:space="0" w:color="FFFFFF" w:themeColor="background1"/>
            </w:tcBorders>
            <w:shd w:val="clear" w:color="000000" w:fill="4BACC6"/>
            <w:noWrap/>
            <w:vAlign w:val="center"/>
            <w:hideMark/>
          </w:tcPr>
          <w:p w14:paraId="23159C05"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0F0F22D1"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52B76BD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1B0EE9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263</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BBF299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2,338</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4FAB924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5,609</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04174A0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15,466</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0C804DD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12,072</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3136A2F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7,763</w:t>
            </w:r>
          </w:p>
        </w:tc>
        <w:tc>
          <w:tcPr>
            <w:tcW w:w="666" w:type="pct"/>
            <w:vMerge/>
            <w:tcBorders>
              <w:top w:val="nil"/>
              <w:left w:val="single" w:sz="8" w:space="0" w:color="FFFFFF" w:themeColor="background1"/>
              <w:bottom w:val="single" w:sz="12" w:space="0" w:color="FFFFFF"/>
              <w:right w:val="single" w:sz="8" w:space="0" w:color="auto"/>
            </w:tcBorders>
            <w:vAlign w:val="center"/>
            <w:hideMark/>
          </w:tcPr>
          <w:p w14:paraId="1815EB18"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66B1442B" w14:textId="77777777" w:rsidTr="00140CAE">
        <w:trPr>
          <w:trHeight w:val="336"/>
        </w:trPr>
        <w:tc>
          <w:tcPr>
            <w:tcW w:w="359" w:type="pct"/>
            <w:vMerge/>
            <w:tcBorders>
              <w:left w:val="single" w:sz="8" w:space="0" w:color="auto"/>
              <w:right w:val="single" w:sz="8" w:space="0" w:color="FFFFFF" w:themeColor="background1"/>
            </w:tcBorders>
            <w:shd w:val="clear" w:color="000000" w:fill="4BACC6"/>
            <w:noWrap/>
            <w:vAlign w:val="center"/>
            <w:hideMark/>
          </w:tcPr>
          <w:p w14:paraId="4880A8E3"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0ADBE81B"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5</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1640CE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64FE37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1D72FFE"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758E73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1,844</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08ABB8F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3EE3E99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209</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488459F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41</w:t>
            </w:r>
          </w:p>
        </w:tc>
        <w:tc>
          <w:tcPr>
            <w:tcW w:w="666" w:type="pct"/>
            <w:vMerge w:val="restart"/>
            <w:tcBorders>
              <w:top w:val="nil"/>
              <w:left w:val="single" w:sz="8" w:space="0" w:color="FFFFFF" w:themeColor="background1"/>
              <w:bottom w:val="single" w:sz="8" w:space="0" w:color="31859C"/>
              <w:right w:val="single" w:sz="8" w:space="0" w:color="auto"/>
            </w:tcBorders>
            <w:shd w:val="clear" w:color="000000" w:fill="B6DDE8"/>
            <w:vAlign w:val="center"/>
            <w:hideMark/>
          </w:tcPr>
          <w:p w14:paraId="187BF6A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22.8</w:t>
            </w:r>
          </w:p>
        </w:tc>
      </w:tr>
      <w:tr w:rsidR="00DC3BEB" w:rsidRPr="008B4EE3" w14:paraId="07C2FB6D" w14:textId="77777777" w:rsidTr="00140CAE">
        <w:trPr>
          <w:trHeight w:val="336"/>
        </w:trPr>
        <w:tc>
          <w:tcPr>
            <w:tcW w:w="359" w:type="pct"/>
            <w:vMerge/>
            <w:tcBorders>
              <w:left w:val="single" w:sz="8" w:space="0" w:color="auto"/>
              <w:bottom w:val="single" w:sz="8" w:space="0" w:color="FFFFFF" w:themeColor="background1"/>
              <w:right w:val="single" w:sz="8" w:space="0" w:color="FFFFFF" w:themeColor="background1"/>
            </w:tcBorders>
            <w:shd w:val="clear" w:color="000000" w:fill="4BACC6"/>
            <w:noWrap/>
            <w:vAlign w:val="center"/>
            <w:hideMark/>
          </w:tcPr>
          <w:p w14:paraId="399122FA" w14:textId="77777777" w:rsidR="00DC3BEB" w:rsidRPr="008B4EE3" w:rsidRDefault="00DC3BEB" w:rsidP="003B2CB3">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0FF7A63E"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AB14EB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F24E90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16</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60C1CE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49BEFEF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1,847</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3F4883E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4,450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BFA036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2,220</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16133E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5,185</w:t>
            </w:r>
          </w:p>
        </w:tc>
        <w:tc>
          <w:tcPr>
            <w:tcW w:w="666" w:type="pct"/>
            <w:vMerge/>
            <w:tcBorders>
              <w:top w:val="nil"/>
              <w:left w:val="single" w:sz="8" w:space="0" w:color="FFFFFF" w:themeColor="background1"/>
              <w:bottom w:val="single" w:sz="8" w:space="0" w:color="31859C"/>
              <w:right w:val="single" w:sz="8" w:space="0" w:color="auto"/>
            </w:tcBorders>
            <w:vAlign w:val="center"/>
            <w:hideMark/>
          </w:tcPr>
          <w:p w14:paraId="2910E236"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45EC759F" w14:textId="77777777" w:rsidTr="00DC3BEB">
        <w:trPr>
          <w:trHeight w:val="336"/>
        </w:trPr>
        <w:tc>
          <w:tcPr>
            <w:tcW w:w="359" w:type="pct"/>
            <w:vMerge w:val="restart"/>
            <w:tcBorders>
              <w:top w:val="single" w:sz="8" w:space="0" w:color="FFFFFF" w:themeColor="background1"/>
              <w:left w:val="single" w:sz="8" w:space="0" w:color="auto"/>
              <w:right w:val="single" w:sz="8" w:space="0" w:color="FFFFFF" w:themeColor="background1"/>
            </w:tcBorders>
            <w:shd w:val="clear" w:color="000000" w:fill="4BACC6"/>
            <w:vAlign w:val="center"/>
            <w:hideMark/>
          </w:tcPr>
          <w:p w14:paraId="5E3434DA"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 </w:t>
            </w:r>
          </w:p>
          <w:p w14:paraId="13DC6823"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 </w:t>
            </w:r>
          </w:p>
          <w:p w14:paraId="0993D17F"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 </w:t>
            </w:r>
          </w:p>
          <w:p w14:paraId="06D8B342"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 </w:t>
            </w:r>
          </w:p>
          <w:p w14:paraId="42618E58"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30 year useful life</w:t>
            </w:r>
          </w:p>
          <w:p w14:paraId="339E959E"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Asphalt</w:t>
            </w:r>
          </w:p>
          <w:p w14:paraId="65DEAB75"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Wood</w:t>
            </w:r>
          </w:p>
          <w:p w14:paraId="2A649846" w14:textId="77777777" w:rsidR="00DC3BEB" w:rsidRPr="008B4EE3" w:rsidRDefault="00DC3BEB" w:rsidP="003B2CB3">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p w14:paraId="70327710" w14:textId="77777777" w:rsidR="00DC3BEB" w:rsidRPr="008B4EE3" w:rsidRDefault="00DC3BEB" w:rsidP="003B2CB3">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p w14:paraId="5B0EA582" w14:textId="77777777" w:rsidR="00DC3BEB" w:rsidRPr="008B4EE3" w:rsidRDefault="00DC3BEB" w:rsidP="00140CAE">
            <w:pPr>
              <w:spacing w:after="0"/>
              <w:jc w:val="left"/>
              <w:rPr>
                <w:rFonts w:ascii="Arial Narrow" w:hAnsi="Arial Narrow"/>
                <w:color w:val="FFFFFF"/>
                <w:szCs w:val="24"/>
                <w:lang w:eastAsia="en-AU"/>
              </w:rPr>
            </w:pPr>
            <w:r w:rsidRPr="008B4EE3">
              <w:rPr>
                <w:rFonts w:ascii="Arial Narrow" w:hAnsi="Arial Narrow"/>
                <w:color w:val="FFFFFF"/>
                <w:szCs w:val="24"/>
                <w:lang w:eastAsia="en-AU"/>
              </w:rPr>
              <w:t> </w:t>
            </w: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5BF06070"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1</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FB09E5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5B6B6B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5,095</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D8D294E"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B767B7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B6B4DE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83</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E97C62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F995AC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val="restart"/>
            <w:tcBorders>
              <w:top w:val="single" w:sz="12" w:space="0" w:color="FFFFFF"/>
              <w:left w:val="single" w:sz="8" w:space="0" w:color="FFFFFF" w:themeColor="background1"/>
              <w:bottom w:val="single" w:sz="8" w:space="0" w:color="31859C"/>
              <w:right w:val="single" w:sz="8" w:space="0" w:color="auto"/>
            </w:tcBorders>
            <w:shd w:val="clear" w:color="000000" w:fill="B6DDE8"/>
            <w:vAlign w:val="center"/>
            <w:hideMark/>
          </w:tcPr>
          <w:p w14:paraId="693C35E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9.8</w:t>
            </w:r>
          </w:p>
        </w:tc>
      </w:tr>
      <w:tr w:rsidR="00DC3BEB" w:rsidRPr="008B4EE3" w14:paraId="5FBE342D"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1B693007"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D643929"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78F1B1B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B3B687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764</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61234C8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994</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23B08B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1,867</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4DCB41F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2,197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09AF15A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550</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CDF390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tcBorders>
              <w:top w:val="single" w:sz="12" w:space="0" w:color="FFFFFF"/>
              <w:left w:val="single" w:sz="8" w:space="0" w:color="FFFFFF" w:themeColor="background1"/>
              <w:bottom w:val="single" w:sz="8" w:space="0" w:color="31859C"/>
              <w:right w:val="single" w:sz="8" w:space="0" w:color="auto"/>
            </w:tcBorders>
            <w:vAlign w:val="center"/>
            <w:hideMark/>
          </w:tcPr>
          <w:p w14:paraId="3A9ACD2E"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0BB6F675"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1EE493B7"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4203A680"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2</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117603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8D3883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61D2BC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5,485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963634"/>
            <w:noWrap/>
            <w:vAlign w:val="center"/>
            <w:hideMark/>
          </w:tcPr>
          <w:p w14:paraId="28243E11" w14:textId="77777777" w:rsidR="00DC3BEB" w:rsidRPr="008B4EE3" w:rsidRDefault="00DC3BEB" w:rsidP="003B2CB3">
            <w:pPr>
              <w:spacing w:after="0"/>
              <w:jc w:val="center"/>
              <w:rPr>
                <w:rFonts w:ascii="Arial Narrow" w:hAnsi="Arial Narrow"/>
                <w:color w:val="FFFFFF"/>
                <w:szCs w:val="24"/>
                <w:lang w:eastAsia="en-AU"/>
              </w:rPr>
            </w:pPr>
            <w:r w:rsidRPr="008B4EE3">
              <w:rPr>
                <w:rFonts w:ascii="Arial Narrow" w:hAnsi="Arial Narrow"/>
                <w:color w:val="FFFFFF"/>
                <w:szCs w:val="24"/>
                <w:lang w:eastAsia="en-AU"/>
              </w:rPr>
              <w:t>22,842</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116DD970"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5,157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3E3B473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7,855</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3273B2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val="restart"/>
            <w:tcBorders>
              <w:top w:val="single" w:sz="12" w:space="0" w:color="FFFFFF"/>
              <w:left w:val="single" w:sz="8" w:space="0" w:color="FFFFFF" w:themeColor="background1"/>
              <w:bottom w:val="single" w:sz="8" w:space="0" w:color="31859C"/>
              <w:right w:val="single" w:sz="8" w:space="0" w:color="auto"/>
            </w:tcBorders>
            <w:shd w:val="clear" w:color="000000" w:fill="B6DDE8"/>
            <w:vAlign w:val="center"/>
            <w:hideMark/>
          </w:tcPr>
          <w:p w14:paraId="1314456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14.7</w:t>
            </w:r>
          </w:p>
        </w:tc>
      </w:tr>
      <w:tr w:rsidR="00DC3BEB" w:rsidRPr="008B4EE3" w14:paraId="36A9472D"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0519AAEB"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4BEA6A1"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610B3D3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7392355"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1,169</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360D230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11,380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3104E73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16,453</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2427A4A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14,835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1FE4EC9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672</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2C56419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138</w:t>
            </w:r>
          </w:p>
        </w:tc>
        <w:tc>
          <w:tcPr>
            <w:tcW w:w="666" w:type="pct"/>
            <w:vMerge/>
            <w:tcBorders>
              <w:top w:val="single" w:sz="12" w:space="0" w:color="FFFFFF"/>
              <w:left w:val="single" w:sz="8" w:space="0" w:color="FFFFFF" w:themeColor="background1"/>
              <w:bottom w:val="single" w:sz="8" w:space="0" w:color="31859C"/>
              <w:right w:val="single" w:sz="8" w:space="0" w:color="auto"/>
            </w:tcBorders>
            <w:vAlign w:val="center"/>
            <w:hideMark/>
          </w:tcPr>
          <w:p w14:paraId="041F0FAE"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69C766F8"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171C4F55"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41C3C62"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3</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A45408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DC9A5C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0BEAA81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272</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443FC63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10,461</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5DA4CF00"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17,876</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16A61FB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1,442</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7E1BC52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208</w:t>
            </w:r>
          </w:p>
        </w:tc>
        <w:tc>
          <w:tcPr>
            <w:tcW w:w="666" w:type="pct"/>
            <w:vMerge w:val="restart"/>
            <w:tcBorders>
              <w:top w:val="single" w:sz="12" w:space="0" w:color="FFFFFF"/>
              <w:left w:val="single" w:sz="8" w:space="0" w:color="FFFFFF" w:themeColor="background1"/>
              <w:bottom w:val="single" w:sz="8" w:space="0" w:color="31859C"/>
              <w:right w:val="single" w:sz="8" w:space="0" w:color="auto"/>
            </w:tcBorders>
            <w:shd w:val="clear" w:color="000000" w:fill="B6DDE8"/>
            <w:vAlign w:val="center"/>
            <w:hideMark/>
          </w:tcPr>
          <w:p w14:paraId="0A68992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17.7</w:t>
            </w:r>
          </w:p>
        </w:tc>
      </w:tr>
      <w:tr w:rsidR="00DC3BEB" w:rsidRPr="008B4EE3" w14:paraId="24E39A2A"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21C62C16"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A96025C"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77E5705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3814A40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132</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AE5B7A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7,699</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29C4297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6,121</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A9694"/>
            <w:noWrap/>
            <w:vAlign w:val="center"/>
            <w:hideMark/>
          </w:tcPr>
          <w:p w14:paraId="6578586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18,534</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4E37560"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6,437</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351AD28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1,601</w:t>
            </w:r>
          </w:p>
        </w:tc>
        <w:tc>
          <w:tcPr>
            <w:tcW w:w="666" w:type="pct"/>
            <w:vMerge/>
            <w:tcBorders>
              <w:top w:val="single" w:sz="12" w:space="0" w:color="FFFFFF"/>
              <w:left w:val="single" w:sz="8" w:space="0" w:color="FFFFFF" w:themeColor="background1"/>
              <w:bottom w:val="single" w:sz="8" w:space="0" w:color="31859C"/>
              <w:right w:val="single" w:sz="8" w:space="0" w:color="auto"/>
            </w:tcBorders>
            <w:vAlign w:val="center"/>
            <w:hideMark/>
          </w:tcPr>
          <w:p w14:paraId="610C0333"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05DFD83F"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4A9E008B"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A87B2AF"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4</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2DEA36A"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22FEA0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2332FF0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122</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766F084F"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3,315</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1C9EAB3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3,610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E1A779B"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3,681</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286B3201"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934</w:t>
            </w:r>
          </w:p>
        </w:tc>
        <w:tc>
          <w:tcPr>
            <w:tcW w:w="666" w:type="pct"/>
            <w:vMerge w:val="restart"/>
            <w:tcBorders>
              <w:top w:val="single" w:sz="12" w:space="0" w:color="FFFFFF"/>
              <w:left w:val="single" w:sz="8" w:space="0" w:color="FFFFFF" w:themeColor="background1"/>
              <w:bottom w:val="single" w:sz="8" w:space="0" w:color="31859C"/>
              <w:right w:val="single" w:sz="8" w:space="0" w:color="auto"/>
            </w:tcBorders>
            <w:shd w:val="clear" w:color="000000" w:fill="B6DDE8"/>
            <w:vAlign w:val="center"/>
            <w:hideMark/>
          </w:tcPr>
          <w:p w14:paraId="336A08C9"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18.4</w:t>
            </w:r>
          </w:p>
        </w:tc>
      </w:tr>
      <w:tr w:rsidR="00DC3BEB" w:rsidRPr="008B4EE3" w14:paraId="4F321EE9" w14:textId="77777777" w:rsidTr="00DC3BEB">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77779877"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220F42F"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054478B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ED8669E"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3EE5763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1,175</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3F50C60"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1,147</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6AE8840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6,217</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751E19D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3,549</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1ED265E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302</w:t>
            </w:r>
          </w:p>
        </w:tc>
        <w:tc>
          <w:tcPr>
            <w:tcW w:w="666" w:type="pct"/>
            <w:vMerge/>
            <w:tcBorders>
              <w:top w:val="single" w:sz="12" w:space="0" w:color="FFFFFF"/>
              <w:left w:val="single" w:sz="8" w:space="0" w:color="FFFFFF" w:themeColor="background1"/>
              <w:bottom w:val="single" w:sz="8" w:space="0" w:color="31859C"/>
              <w:right w:val="single" w:sz="8" w:space="0" w:color="auto"/>
            </w:tcBorders>
            <w:vAlign w:val="center"/>
            <w:hideMark/>
          </w:tcPr>
          <w:p w14:paraId="089B7708" w14:textId="77777777" w:rsidR="00DC3BEB" w:rsidRPr="008B4EE3" w:rsidRDefault="00DC3BEB" w:rsidP="003B2CB3">
            <w:pPr>
              <w:spacing w:after="0"/>
              <w:jc w:val="left"/>
              <w:rPr>
                <w:rFonts w:ascii="Arial Narrow" w:hAnsi="Arial Narrow"/>
                <w:color w:val="000000"/>
                <w:szCs w:val="24"/>
                <w:lang w:eastAsia="en-AU"/>
              </w:rPr>
            </w:pPr>
          </w:p>
        </w:tc>
      </w:tr>
      <w:tr w:rsidR="00DC3BEB" w:rsidRPr="008B4EE3" w14:paraId="51B2110B" w14:textId="77777777" w:rsidTr="00140CAE">
        <w:trPr>
          <w:trHeight w:val="336"/>
        </w:trPr>
        <w:tc>
          <w:tcPr>
            <w:tcW w:w="359" w:type="pct"/>
            <w:vMerge/>
            <w:tcBorders>
              <w:left w:val="single" w:sz="8" w:space="0" w:color="auto"/>
              <w:right w:val="single" w:sz="8" w:space="0" w:color="FFFFFF" w:themeColor="background1"/>
            </w:tcBorders>
            <w:shd w:val="clear" w:color="000000" w:fill="4BACC6"/>
            <w:vAlign w:val="center"/>
            <w:hideMark/>
          </w:tcPr>
          <w:p w14:paraId="50D8A28A" w14:textId="77777777" w:rsidR="00DC3BEB" w:rsidRPr="008B4EE3" w:rsidRDefault="00DC3BEB" w:rsidP="00140CAE">
            <w:pPr>
              <w:spacing w:after="0"/>
              <w:jc w:val="left"/>
              <w:rPr>
                <w:rFonts w:ascii="Arial Narrow" w:hAnsi="Arial Narrow"/>
                <w:color w:val="FFFFFF"/>
                <w:szCs w:val="24"/>
                <w:lang w:eastAsia="en-AU"/>
              </w:rPr>
            </w:pPr>
          </w:p>
        </w:tc>
        <w:tc>
          <w:tcPr>
            <w:tcW w:w="360"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1E0766E" w14:textId="77777777" w:rsidR="00DC3BEB" w:rsidRPr="008B4EE3" w:rsidRDefault="00DC3BEB"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5</w:t>
            </w: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3B2C1BD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Parks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6343A8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CB634D2"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51525B8"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0754DDF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1,918</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DD4D3BA"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8CB75D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val="restart"/>
            <w:tcBorders>
              <w:top w:val="single" w:sz="12" w:space="0" w:color="FFFFFF"/>
              <w:left w:val="single" w:sz="8" w:space="0" w:color="FFFFFF" w:themeColor="background1"/>
              <w:bottom w:val="single" w:sz="8" w:space="0" w:color="31859C"/>
              <w:right w:val="single" w:sz="8" w:space="0" w:color="auto"/>
            </w:tcBorders>
            <w:shd w:val="clear" w:color="000000" w:fill="B6DDE8"/>
            <w:vAlign w:val="center"/>
            <w:hideMark/>
          </w:tcPr>
          <w:p w14:paraId="407488D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20</w:t>
            </w:r>
          </w:p>
        </w:tc>
      </w:tr>
      <w:tr w:rsidR="00DC3BEB" w:rsidRPr="008B4EE3" w14:paraId="46E66CAC" w14:textId="77777777" w:rsidTr="00140CAE">
        <w:trPr>
          <w:trHeight w:val="336"/>
        </w:trPr>
        <w:tc>
          <w:tcPr>
            <w:tcW w:w="359" w:type="pct"/>
            <w:vMerge/>
            <w:tcBorders>
              <w:left w:val="single" w:sz="8" w:space="0" w:color="auto"/>
              <w:bottom w:val="single" w:sz="8" w:space="0" w:color="31859C"/>
              <w:right w:val="single" w:sz="8" w:space="0" w:color="FFFFFF" w:themeColor="background1"/>
            </w:tcBorders>
            <w:shd w:val="clear" w:color="000000" w:fill="4BACC6"/>
            <w:vAlign w:val="center"/>
            <w:hideMark/>
          </w:tcPr>
          <w:p w14:paraId="3744BFA5" w14:textId="77777777" w:rsidR="00DC3BEB" w:rsidRPr="008B4EE3" w:rsidRDefault="00DC3BEB" w:rsidP="003B2CB3">
            <w:pPr>
              <w:spacing w:after="0"/>
              <w:jc w:val="left"/>
              <w:rPr>
                <w:rFonts w:ascii="Arial Narrow" w:hAnsi="Arial Narrow"/>
                <w:color w:val="FFFFFF"/>
                <w:szCs w:val="24"/>
                <w:lang w:eastAsia="en-AU"/>
              </w:rPr>
            </w:pPr>
          </w:p>
        </w:tc>
        <w:tc>
          <w:tcPr>
            <w:tcW w:w="360"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6378DEF4" w14:textId="77777777" w:rsidR="00DC3BEB" w:rsidRPr="008B4EE3" w:rsidRDefault="00DC3BEB" w:rsidP="003B2CB3">
            <w:pPr>
              <w:spacing w:after="0"/>
              <w:jc w:val="left"/>
              <w:rPr>
                <w:rFonts w:ascii="Arial Narrow" w:hAnsi="Arial Narrow"/>
                <w:b/>
                <w:bCs/>
                <w:color w:val="000000"/>
                <w:szCs w:val="24"/>
                <w:lang w:eastAsia="en-AU"/>
              </w:rPr>
            </w:pPr>
          </w:p>
        </w:tc>
        <w:tc>
          <w:tcPr>
            <w:tcW w:w="4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6DDE8"/>
            <w:noWrap/>
            <w:vAlign w:val="center"/>
            <w:hideMark/>
          </w:tcPr>
          <w:p w14:paraId="2F0E1174"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Roads</w:t>
            </w:r>
          </w:p>
        </w:tc>
        <w:tc>
          <w:tcPr>
            <w:tcW w:w="5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9C06EAD"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662AD06"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4294B8A3"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171</w:t>
            </w:r>
          </w:p>
        </w:tc>
        <w:tc>
          <w:tcPr>
            <w:tcW w:w="5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B8B7"/>
            <w:noWrap/>
            <w:vAlign w:val="center"/>
            <w:hideMark/>
          </w:tcPr>
          <w:p w14:paraId="5E7C2FFC"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1,414</w:t>
            </w:r>
          </w:p>
        </w:tc>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DCDB"/>
            <w:noWrap/>
            <w:vAlign w:val="center"/>
            <w:hideMark/>
          </w:tcPr>
          <w:p w14:paraId="5D49D08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874</w:t>
            </w:r>
          </w:p>
        </w:tc>
        <w:tc>
          <w:tcPr>
            <w:tcW w:w="5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3D1C027" w14:textId="77777777" w:rsidR="00DC3BEB" w:rsidRPr="008B4EE3" w:rsidRDefault="00DC3BEB"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0</w:t>
            </w:r>
          </w:p>
        </w:tc>
        <w:tc>
          <w:tcPr>
            <w:tcW w:w="666" w:type="pct"/>
            <w:vMerge/>
            <w:tcBorders>
              <w:top w:val="single" w:sz="12" w:space="0" w:color="FFFFFF"/>
              <w:left w:val="single" w:sz="8" w:space="0" w:color="FFFFFF" w:themeColor="background1"/>
              <w:bottom w:val="single" w:sz="8" w:space="0" w:color="31859C"/>
              <w:right w:val="single" w:sz="8" w:space="0" w:color="auto"/>
            </w:tcBorders>
            <w:vAlign w:val="center"/>
            <w:hideMark/>
          </w:tcPr>
          <w:p w14:paraId="50C594B3" w14:textId="77777777" w:rsidR="00DC3BEB" w:rsidRPr="008B4EE3" w:rsidRDefault="00DC3BEB" w:rsidP="003B2CB3">
            <w:pPr>
              <w:spacing w:after="0"/>
              <w:jc w:val="left"/>
              <w:rPr>
                <w:rFonts w:ascii="Arial Narrow" w:hAnsi="Arial Narrow"/>
                <w:color w:val="000000"/>
                <w:szCs w:val="24"/>
                <w:lang w:eastAsia="en-AU"/>
              </w:rPr>
            </w:pPr>
          </w:p>
        </w:tc>
      </w:tr>
      <w:tr w:rsidR="003B2CB3" w:rsidRPr="008B4EE3" w14:paraId="18CD117A" w14:textId="77777777" w:rsidTr="003B2CB3">
        <w:trPr>
          <w:trHeight w:val="336"/>
        </w:trPr>
        <w:tc>
          <w:tcPr>
            <w:tcW w:w="1143" w:type="pct"/>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0E3CD91" w14:textId="77777777" w:rsidR="003B2CB3" w:rsidRPr="008B4EE3" w:rsidRDefault="003B2CB3"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Total m2</w:t>
            </w:r>
          </w:p>
        </w:tc>
        <w:tc>
          <w:tcPr>
            <w:tcW w:w="581" w:type="pct"/>
            <w:tcBorders>
              <w:top w:val="single" w:sz="8" w:space="0" w:color="auto"/>
              <w:left w:val="nil"/>
              <w:bottom w:val="single" w:sz="8" w:space="0" w:color="auto"/>
              <w:right w:val="single" w:sz="8" w:space="0" w:color="auto"/>
            </w:tcBorders>
            <w:shd w:val="clear" w:color="000000" w:fill="D9D9D9"/>
            <w:noWrap/>
            <w:vAlign w:val="center"/>
            <w:hideMark/>
          </w:tcPr>
          <w:p w14:paraId="0E51E74E"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210,857</w:t>
            </w:r>
          </w:p>
        </w:tc>
        <w:tc>
          <w:tcPr>
            <w:tcW w:w="433" w:type="pct"/>
            <w:tcBorders>
              <w:top w:val="single" w:sz="8" w:space="0" w:color="auto"/>
              <w:left w:val="nil"/>
              <w:bottom w:val="single" w:sz="8" w:space="0" w:color="auto"/>
              <w:right w:val="single" w:sz="8" w:space="0" w:color="auto"/>
            </w:tcBorders>
            <w:shd w:val="clear" w:color="000000" w:fill="D9D9D9"/>
            <w:noWrap/>
            <w:vAlign w:val="center"/>
            <w:hideMark/>
          </w:tcPr>
          <w:p w14:paraId="77235494"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178,809</w:t>
            </w:r>
          </w:p>
        </w:tc>
        <w:tc>
          <w:tcPr>
            <w:tcW w:w="531" w:type="pct"/>
            <w:tcBorders>
              <w:top w:val="single" w:sz="8" w:space="0" w:color="auto"/>
              <w:left w:val="nil"/>
              <w:bottom w:val="single" w:sz="8" w:space="0" w:color="auto"/>
              <w:right w:val="single" w:sz="8" w:space="0" w:color="auto"/>
            </w:tcBorders>
            <w:shd w:val="clear" w:color="000000" w:fill="D9D9D9"/>
            <w:noWrap/>
            <w:vAlign w:val="center"/>
            <w:hideMark/>
          </w:tcPr>
          <w:p w14:paraId="2170A947"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400,880</w:t>
            </w:r>
          </w:p>
        </w:tc>
        <w:tc>
          <w:tcPr>
            <w:tcW w:w="529" w:type="pct"/>
            <w:tcBorders>
              <w:top w:val="single" w:sz="8" w:space="0" w:color="auto"/>
              <w:left w:val="nil"/>
              <w:bottom w:val="single" w:sz="8" w:space="0" w:color="auto"/>
              <w:right w:val="single" w:sz="8" w:space="0" w:color="auto"/>
            </w:tcBorders>
            <w:shd w:val="clear" w:color="000000" w:fill="D9D9D9"/>
            <w:noWrap/>
            <w:vAlign w:val="center"/>
            <w:hideMark/>
          </w:tcPr>
          <w:p w14:paraId="7A1AD7D7"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414,374</w:t>
            </w:r>
          </w:p>
        </w:tc>
        <w:tc>
          <w:tcPr>
            <w:tcW w:w="531" w:type="pct"/>
            <w:tcBorders>
              <w:top w:val="single" w:sz="8" w:space="0" w:color="auto"/>
              <w:left w:val="nil"/>
              <w:bottom w:val="single" w:sz="8" w:space="0" w:color="auto"/>
              <w:right w:val="single" w:sz="8" w:space="0" w:color="auto"/>
            </w:tcBorders>
            <w:shd w:val="clear" w:color="000000" w:fill="D9D9D9"/>
            <w:noWrap/>
            <w:vAlign w:val="center"/>
            <w:hideMark/>
          </w:tcPr>
          <w:p w14:paraId="72D74525"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158,108</w:t>
            </w:r>
          </w:p>
        </w:tc>
        <w:tc>
          <w:tcPr>
            <w:tcW w:w="586" w:type="pct"/>
            <w:tcBorders>
              <w:top w:val="single" w:sz="8" w:space="0" w:color="auto"/>
              <w:left w:val="nil"/>
              <w:bottom w:val="single" w:sz="8" w:space="0" w:color="auto"/>
              <w:right w:val="single" w:sz="8" w:space="0" w:color="auto"/>
            </w:tcBorders>
            <w:shd w:val="clear" w:color="000000" w:fill="D9D9D9"/>
            <w:noWrap/>
            <w:vAlign w:val="center"/>
            <w:hideMark/>
          </w:tcPr>
          <w:p w14:paraId="478487F7"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68,938</w:t>
            </w:r>
          </w:p>
        </w:tc>
        <w:tc>
          <w:tcPr>
            <w:tcW w:w="666" w:type="pct"/>
            <w:tcBorders>
              <w:top w:val="single" w:sz="8" w:space="0" w:color="auto"/>
              <w:left w:val="nil"/>
              <w:bottom w:val="single" w:sz="8" w:space="0" w:color="auto"/>
              <w:right w:val="single" w:sz="8" w:space="0" w:color="auto"/>
            </w:tcBorders>
            <w:shd w:val="clear" w:color="000000" w:fill="D9D9D9"/>
            <w:vAlign w:val="center"/>
            <w:hideMark/>
          </w:tcPr>
          <w:p w14:paraId="4260DB62"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1,431,966</w:t>
            </w:r>
          </w:p>
        </w:tc>
      </w:tr>
      <w:tr w:rsidR="003B2CB3" w:rsidRPr="008B4EE3" w14:paraId="148813A4" w14:textId="77777777" w:rsidTr="003B2CB3">
        <w:trPr>
          <w:trHeight w:val="336"/>
        </w:trPr>
        <w:tc>
          <w:tcPr>
            <w:tcW w:w="1143" w:type="pct"/>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E2424C1" w14:textId="77777777" w:rsidR="003B2CB3" w:rsidRPr="008B4EE3" w:rsidRDefault="003B2CB3" w:rsidP="003B2CB3">
            <w:pPr>
              <w:spacing w:after="0"/>
              <w:jc w:val="center"/>
              <w:rPr>
                <w:rFonts w:ascii="Arial Narrow" w:hAnsi="Arial Narrow"/>
                <w:b/>
                <w:bCs/>
                <w:color w:val="000000"/>
                <w:szCs w:val="24"/>
                <w:lang w:eastAsia="en-AU"/>
              </w:rPr>
            </w:pPr>
            <w:r w:rsidRPr="008B4EE3">
              <w:rPr>
                <w:rFonts w:ascii="Arial Narrow" w:hAnsi="Arial Narrow"/>
                <w:b/>
                <w:bCs/>
                <w:color w:val="000000"/>
                <w:szCs w:val="24"/>
                <w:lang w:eastAsia="en-AU"/>
              </w:rPr>
              <w:t>% of footpaths</w:t>
            </w:r>
          </w:p>
        </w:tc>
        <w:tc>
          <w:tcPr>
            <w:tcW w:w="581" w:type="pct"/>
            <w:tcBorders>
              <w:top w:val="nil"/>
              <w:left w:val="nil"/>
              <w:bottom w:val="single" w:sz="8" w:space="0" w:color="auto"/>
              <w:right w:val="single" w:sz="8" w:space="0" w:color="auto"/>
            </w:tcBorders>
            <w:shd w:val="clear" w:color="000000" w:fill="D9D9D9"/>
            <w:noWrap/>
            <w:vAlign w:val="center"/>
            <w:hideMark/>
          </w:tcPr>
          <w:p w14:paraId="1BA2B2C4"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14.72%</w:t>
            </w:r>
          </w:p>
        </w:tc>
        <w:tc>
          <w:tcPr>
            <w:tcW w:w="433" w:type="pct"/>
            <w:tcBorders>
              <w:top w:val="nil"/>
              <w:left w:val="nil"/>
              <w:bottom w:val="single" w:sz="8" w:space="0" w:color="auto"/>
              <w:right w:val="single" w:sz="8" w:space="0" w:color="auto"/>
            </w:tcBorders>
            <w:shd w:val="clear" w:color="000000" w:fill="D9D9D9"/>
            <w:noWrap/>
            <w:vAlign w:val="center"/>
            <w:hideMark/>
          </w:tcPr>
          <w:p w14:paraId="4BB0DAF3"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12.49%</w:t>
            </w:r>
          </w:p>
        </w:tc>
        <w:tc>
          <w:tcPr>
            <w:tcW w:w="531" w:type="pct"/>
            <w:tcBorders>
              <w:top w:val="nil"/>
              <w:left w:val="nil"/>
              <w:bottom w:val="single" w:sz="8" w:space="0" w:color="auto"/>
              <w:right w:val="single" w:sz="8" w:space="0" w:color="auto"/>
            </w:tcBorders>
            <w:shd w:val="clear" w:color="000000" w:fill="D9D9D9"/>
            <w:noWrap/>
            <w:vAlign w:val="center"/>
            <w:hideMark/>
          </w:tcPr>
          <w:p w14:paraId="5ACC7CA2"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28.00%</w:t>
            </w:r>
          </w:p>
        </w:tc>
        <w:tc>
          <w:tcPr>
            <w:tcW w:w="529" w:type="pct"/>
            <w:tcBorders>
              <w:top w:val="nil"/>
              <w:left w:val="nil"/>
              <w:bottom w:val="single" w:sz="8" w:space="0" w:color="auto"/>
              <w:right w:val="single" w:sz="8" w:space="0" w:color="auto"/>
            </w:tcBorders>
            <w:shd w:val="clear" w:color="000000" w:fill="D9D9D9"/>
            <w:noWrap/>
            <w:vAlign w:val="center"/>
            <w:hideMark/>
          </w:tcPr>
          <w:p w14:paraId="71D64351"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28.94%</w:t>
            </w:r>
          </w:p>
        </w:tc>
        <w:tc>
          <w:tcPr>
            <w:tcW w:w="531" w:type="pct"/>
            <w:tcBorders>
              <w:top w:val="nil"/>
              <w:left w:val="nil"/>
              <w:bottom w:val="single" w:sz="8" w:space="0" w:color="auto"/>
              <w:right w:val="single" w:sz="8" w:space="0" w:color="auto"/>
            </w:tcBorders>
            <w:shd w:val="clear" w:color="000000" w:fill="D9D9D9"/>
            <w:noWrap/>
            <w:vAlign w:val="center"/>
            <w:hideMark/>
          </w:tcPr>
          <w:p w14:paraId="43E16CEB"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11.04%</w:t>
            </w:r>
          </w:p>
        </w:tc>
        <w:tc>
          <w:tcPr>
            <w:tcW w:w="586" w:type="pct"/>
            <w:tcBorders>
              <w:top w:val="nil"/>
              <w:left w:val="nil"/>
              <w:bottom w:val="single" w:sz="8" w:space="0" w:color="auto"/>
              <w:right w:val="single" w:sz="8" w:space="0" w:color="auto"/>
            </w:tcBorders>
            <w:shd w:val="clear" w:color="000000" w:fill="D9D9D9"/>
            <w:vAlign w:val="center"/>
            <w:hideMark/>
          </w:tcPr>
          <w:p w14:paraId="3A1C3BD4"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4.81%</w:t>
            </w:r>
          </w:p>
        </w:tc>
        <w:tc>
          <w:tcPr>
            <w:tcW w:w="666" w:type="pct"/>
            <w:tcBorders>
              <w:top w:val="nil"/>
              <w:left w:val="nil"/>
              <w:bottom w:val="single" w:sz="8" w:space="0" w:color="auto"/>
              <w:right w:val="single" w:sz="8" w:space="0" w:color="auto"/>
            </w:tcBorders>
            <w:shd w:val="clear" w:color="000000" w:fill="D9D9D9"/>
            <w:vAlign w:val="center"/>
            <w:hideMark/>
          </w:tcPr>
          <w:p w14:paraId="6830004A" w14:textId="77777777" w:rsidR="003B2CB3" w:rsidRPr="008B4EE3" w:rsidRDefault="003B2CB3" w:rsidP="003B2CB3">
            <w:pPr>
              <w:spacing w:after="0"/>
              <w:jc w:val="center"/>
              <w:rPr>
                <w:rFonts w:ascii="Arial Narrow" w:hAnsi="Arial Narrow"/>
                <w:color w:val="000000"/>
                <w:szCs w:val="24"/>
                <w:lang w:eastAsia="en-AU"/>
              </w:rPr>
            </w:pPr>
            <w:r w:rsidRPr="008B4EE3">
              <w:rPr>
                <w:rFonts w:ascii="Arial Narrow" w:hAnsi="Arial Narrow"/>
                <w:color w:val="000000"/>
                <w:szCs w:val="24"/>
                <w:lang w:eastAsia="en-AU"/>
              </w:rPr>
              <w:t>100%</w:t>
            </w:r>
          </w:p>
        </w:tc>
      </w:tr>
    </w:tbl>
    <w:p w14:paraId="43663E9D" w14:textId="77777777" w:rsidR="00463A3D" w:rsidRDefault="00463A3D" w:rsidP="0026613B">
      <w:pPr>
        <w:pStyle w:val="BodyText"/>
        <w:tabs>
          <w:tab w:val="left" w:pos="851"/>
        </w:tabs>
        <w:spacing w:after="0"/>
        <w:jc w:val="left"/>
        <w:rPr>
          <w:rFonts w:cs="Arial"/>
          <w:b/>
          <w:i/>
          <w:color w:val="0070C0"/>
          <w:sz w:val="2"/>
          <w:szCs w:val="24"/>
        </w:rPr>
      </w:pPr>
    </w:p>
    <w:p w14:paraId="447CE42D" w14:textId="77777777" w:rsidR="003B2CB3" w:rsidRDefault="003B2CB3" w:rsidP="0026613B">
      <w:pPr>
        <w:pStyle w:val="BodyText"/>
        <w:tabs>
          <w:tab w:val="left" w:pos="851"/>
        </w:tabs>
        <w:spacing w:after="0"/>
        <w:jc w:val="left"/>
        <w:rPr>
          <w:rFonts w:cs="Arial"/>
          <w:b/>
          <w:i/>
          <w:color w:val="0070C0"/>
          <w:sz w:val="2"/>
          <w:szCs w:val="24"/>
        </w:rPr>
      </w:pPr>
    </w:p>
    <w:p w14:paraId="064A75B5" w14:textId="77777777" w:rsidR="003B2CB3" w:rsidRPr="0026613B" w:rsidRDefault="003B2CB3" w:rsidP="0026613B">
      <w:pPr>
        <w:pStyle w:val="BodyText"/>
        <w:tabs>
          <w:tab w:val="left" w:pos="851"/>
        </w:tabs>
        <w:spacing w:after="0"/>
        <w:jc w:val="left"/>
        <w:rPr>
          <w:rFonts w:cs="Arial"/>
          <w:b/>
          <w:i/>
          <w:color w:val="0070C0"/>
          <w:sz w:val="2"/>
          <w:szCs w:val="24"/>
        </w:rPr>
      </w:pPr>
    </w:p>
    <w:p w14:paraId="71924EAF" w14:textId="77777777" w:rsidR="003B2CB3" w:rsidRPr="006F08FA" w:rsidRDefault="003B2CB3" w:rsidP="003B2CB3">
      <w:pPr>
        <w:keepNext/>
        <w:rPr>
          <w:b/>
          <w:iCs/>
          <w:color w:val="0070C0"/>
          <w:szCs w:val="22"/>
        </w:rPr>
      </w:pPr>
      <w:r w:rsidRPr="006F08FA">
        <w:rPr>
          <w:b/>
          <w:iCs/>
          <w:color w:val="0070C0"/>
          <w:szCs w:val="22"/>
        </w:rPr>
        <w:t xml:space="preserve">Table 5.1.3B </w:t>
      </w:r>
      <w:r w:rsidRPr="006F08FA">
        <w:rPr>
          <w:b/>
          <w:iCs/>
          <w:color w:val="0070C0"/>
          <w:szCs w:val="22"/>
        </w:rPr>
        <w:tab/>
        <w:t>Age / Condition of Footpaths (m2)</w:t>
      </w:r>
    </w:p>
    <w:p w14:paraId="14E176AE" w14:textId="77777777" w:rsidR="00BE23D9" w:rsidRDefault="00BE23D9">
      <w:pPr>
        <w:spacing w:after="0"/>
        <w:jc w:val="left"/>
        <w:sectPr w:rsidR="00BE23D9" w:rsidSect="003B2CB3">
          <w:footerReference w:type="default" r:id="rId30"/>
          <w:pgSz w:w="15840" w:h="12240" w:orient="landscape"/>
          <w:pgMar w:top="567" w:right="1134" w:bottom="1325" w:left="993" w:header="708" w:footer="708" w:gutter="0"/>
          <w:cols w:space="708"/>
          <w:docGrid w:linePitch="360"/>
        </w:sectPr>
      </w:pPr>
    </w:p>
    <w:p w14:paraId="2892A24A" w14:textId="77777777" w:rsidR="00375DB2" w:rsidRPr="006F08FA" w:rsidRDefault="00375DB2" w:rsidP="00AD53DA">
      <w:pPr>
        <w:pStyle w:val="Heading3"/>
        <w:ind w:right="375"/>
        <w:rPr>
          <w:iCs/>
          <w:color w:val="0070C0"/>
        </w:rPr>
      </w:pPr>
      <w:bookmarkStart w:id="32" w:name="_Toc56419071"/>
      <w:r w:rsidRPr="006F08FA">
        <w:rPr>
          <w:iCs/>
          <w:color w:val="0070C0"/>
        </w:rPr>
        <w:lastRenderedPageBreak/>
        <w:t>5.1.4</w:t>
      </w:r>
      <w:r w:rsidRPr="006F08FA">
        <w:rPr>
          <w:iCs/>
          <w:color w:val="0070C0"/>
        </w:rPr>
        <w:tab/>
        <w:t>Asset Valuations</w:t>
      </w:r>
      <w:bookmarkEnd w:id="32"/>
    </w:p>
    <w:p w14:paraId="1C68C9C0" w14:textId="77777777" w:rsidR="00197CA7" w:rsidRDefault="00197CA7" w:rsidP="00197CA7">
      <w:pPr>
        <w:pStyle w:val="BodyText"/>
        <w:spacing w:after="360"/>
        <w:rPr>
          <w:szCs w:val="24"/>
        </w:rPr>
      </w:pPr>
      <w:r w:rsidRPr="00EA0A8F">
        <w:rPr>
          <w:szCs w:val="24"/>
        </w:rPr>
        <w:t>The Replacement Cost of assets as covered by this AMP are summarised in Table 5.1.4.</w:t>
      </w:r>
      <w:r w:rsidR="00F93ED9">
        <w:rPr>
          <w:szCs w:val="24"/>
        </w:rPr>
        <w:t xml:space="preserve"> as at 30</w:t>
      </w:r>
      <w:r w:rsidR="00F93ED9" w:rsidRPr="00F93ED9">
        <w:rPr>
          <w:szCs w:val="24"/>
          <w:vertAlign w:val="superscript"/>
        </w:rPr>
        <w:t>th</w:t>
      </w:r>
      <w:r w:rsidR="00F93ED9">
        <w:rPr>
          <w:szCs w:val="24"/>
        </w:rPr>
        <w:t xml:space="preserve"> June 2020 in line with the current Schedule of Rates as used by Road Construction Services.</w:t>
      </w:r>
    </w:p>
    <w:p w14:paraId="7B108E8F" w14:textId="77777777" w:rsidR="009E4A0F" w:rsidRPr="006F08FA" w:rsidRDefault="009E4A0F" w:rsidP="00616E47">
      <w:pPr>
        <w:keepNext/>
        <w:rPr>
          <w:b/>
          <w:iCs/>
          <w:color w:val="0070C0"/>
          <w:szCs w:val="22"/>
        </w:rPr>
      </w:pPr>
      <w:r w:rsidRPr="006F08FA">
        <w:rPr>
          <w:b/>
          <w:iCs/>
          <w:color w:val="0070C0"/>
          <w:szCs w:val="22"/>
        </w:rPr>
        <w:t>Table 5.1.</w:t>
      </w:r>
      <w:r w:rsidR="00877E79" w:rsidRPr="006F08FA">
        <w:rPr>
          <w:b/>
          <w:iCs/>
          <w:color w:val="0070C0"/>
          <w:szCs w:val="22"/>
        </w:rPr>
        <w:t>4</w:t>
      </w:r>
      <w:r w:rsidRPr="006F08FA">
        <w:rPr>
          <w:b/>
          <w:iCs/>
          <w:color w:val="0070C0"/>
          <w:szCs w:val="22"/>
        </w:rPr>
        <w:t xml:space="preserve"> </w:t>
      </w:r>
      <w:r w:rsidRPr="006F08FA">
        <w:rPr>
          <w:b/>
          <w:iCs/>
          <w:color w:val="0070C0"/>
          <w:szCs w:val="22"/>
        </w:rPr>
        <w:tab/>
      </w:r>
      <w:r w:rsidR="00877E79" w:rsidRPr="006F08FA">
        <w:rPr>
          <w:b/>
          <w:iCs/>
          <w:color w:val="0070C0"/>
          <w:szCs w:val="22"/>
        </w:rPr>
        <w:t>Footpath Infrastructure Current Asset Values</w:t>
      </w:r>
    </w:p>
    <w:tbl>
      <w:tblPr>
        <w:tblW w:w="5000" w:type="pct"/>
        <w:tblLook w:val="04A0" w:firstRow="1" w:lastRow="0" w:firstColumn="1" w:lastColumn="0" w:noHBand="0" w:noVBand="1"/>
      </w:tblPr>
      <w:tblGrid>
        <w:gridCol w:w="2834"/>
        <w:gridCol w:w="1589"/>
        <w:gridCol w:w="2621"/>
        <w:gridCol w:w="2619"/>
      </w:tblGrid>
      <w:tr w:rsidR="002C497E" w:rsidRPr="002C497E" w14:paraId="14D4624F" w14:textId="77777777" w:rsidTr="00DC3BEB">
        <w:trPr>
          <w:trHeight w:val="600"/>
        </w:trPr>
        <w:tc>
          <w:tcPr>
            <w:tcW w:w="1467" w:type="pct"/>
            <w:tcBorders>
              <w:top w:val="single" w:sz="8" w:space="0" w:color="auto"/>
              <w:left w:val="single" w:sz="8" w:space="0" w:color="auto"/>
              <w:bottom w:val="thinThickSmallGap" w:sz="24" w:space="0" w:color="auto"/>
              <w:right w:val="single" w:sz="8" w:space="0" w:color="FFFFFF"/>
            </w:tcBorders>
            <w:shd w:val="clear" w:color="000000" w:fill="4BACC6"/>
            <w:vAlign w:val="center"/>
            <w:hideMark/>
          </w:tcPr>
          <w:p w14:paraId="4539EC8D"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Surface material</w:t>
            </w:r>
          </w:p>
        </w:tc>
        <w:tc>
          <w:tcPr>
            <w:tcW w:w="822" w:type="pct"/>
            <w:tcBorders>
              <w:top w:val="single" w:sz="8" w:space="0" w:color="auto"/>
              <w:left w:val="nil"/>
              <w:bottom w:val="thinThickSmallGap" w:sz="24" w:space="0" w:color="auto"/>
              <w:right w:val="single" w:sz="8" w:space="0" w:color="FFFFFF"/>
            </w:tcBorders>
            <w:shd w:val="clear" w:color="000000" w:fill="4BACC6"/>
            <w:vAlign w:val="center"/>
            <w:hideMark/>
          </w:tcPr>
          <w:p w14:paraId="5A34A694"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Jurisdiction</w:t>
            </w:r>
          </w:p>
        </w:tc>
        <w:tc>
          <w:tcPr>
            <w:tcW w:w="1356" w:type="pct"/>
            <w:tcBorders>
              <w:top w:val="single" w:sz="8" w:space="0" w:color="auto"/>
              <w:left w:val="nil"/>
              <w:bottom w:val="thinThickSmallGap" w:sz="24" w:space="0" w:color="auto"/>
              <w:right w:val="single" w:sz="8" w:space="0" w:color="FFFFFF"/>
            </w:tcBorders>
            <w:shd w:val="clear" w:color="000000" w:fill="4BACC6"/>
            <w:vAlign w:val="center"/>
            <w:hideMark/>
          </w:tcPr>
          <w:p w14:paraId="30E74EF0"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Area (m²)</w:t>
            </w:r>
          </w:p>
        </w:tc>
        <w:tc>
          <w:tcPr>
            <w:tcW w:w="1356" w:type="pct"/>
            <w:tcBorders>
              <w:top w:val="single" w:sz="8" w:space="0" w:color="auto"/>
              <w:left w:val="nil"/>
              <w:bottom w:val="thinThickSmallGap" w:sz="24" w:space="0" w:color="auto"/>
              <w:right w:val="single" w:sz="8" w:space="0" w:color="auto"/>
            </w:tcBorders>
            <w:shd w:val="clear" w:color="000000" w:fill="4BACC6"/>
            <w:vAlign w:val="center"/>
            <w:hideMark/>
          </w:tcPr>
          <w:p w14:paraId="34CC187E"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CRC</w:t>
            </w:r>
          </w:p>
        </w:tc>
      </w:tr>
      <w:tr w:rsidR="002C497E" w:rsidRPr="002C497E" w14:paraId="4861E9F7" w14:textId="77777777" w:rsidTr="00DC3BEB">
        <w:trPr>
          <w:trHeight w:val="600"/>
        </w:trPr>
        <w:tc>
          <w:tcPr>
            <w:tcW w:w="1467" w:type="pct"/>
            <w:vMerge w:val="restart"/>
            <w:tcBorders>
              <w:top w:val="thinThickSmallGap" w:sz="24" w:space="0" w:color="auto"/>
              <w:left w:val="single" w:sz="8" w:space="0" w:color="auto"/>
              <w:bottom w:val="single" w:sz="12" w:space="0" w:color="FFFFFF"/>
              <w:right w:val="thinThickSmallGap" w:sz="24" w:space="0" w:color="auto"/>
            </w:tcBorders>
            <w:shd w:val="clear" w:color="000000" w:fill="4BACC6"/>
            <w:vAlign w:val="center"/>
            <w:hideMark/>
          </w:tcPr>
          <w:p w14:paraId="32CC1D95"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Asphalt</w:t>
            </w:r>
          </w:p>
        </w:tc>
        <w:tc>
          <w:tcPr>
            <w:tcW w:w="822" w:type="pct"/>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5B97AF66"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Parks</w:t>
            </w:r>
          </w:p>
        </w:tc>
        <w:tc>
          <w:tcPr>
            <w:tcW w:w="1356" w:type="pct"/>
            <w:tcBorders>
              <w:top w:val="thinThickSmallGap" w:sz="24" w:space="0" w:color="auto"/>
              <w:left w:val="nil"/>
              <w:bottom w:val="single" w:sz="8" w:space="0" w:color="FFFFFF"/>
              <w:right w:val="single" w:sz="8" w:space="0" w:color="FFFFFF"/>
            </w:tcBorders>
            <w:shd w:val="clear" w:color="000000" w:fill="B6DDE8"/>
            <w:vAlign w:val="center"/>
            <w:hideMark/>
          </w:tcPr>
          <w:p w14:paraId="6530C6D3"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90,471</w:t>
            </w:r>
          </w:p>
        </w:tc>
        <w:tc>
          <w:tcPr>
            <w:tcW w:w="1356" w:type="pct"/>
            <w:tcBorders>
              <w:top w:val="thinThickSmallGap" w:sz="24" w:space="0" w:color="auto"/>
              <w:left w:val="nil"/>
              <w:bottom w:val="single" w:sz="8" w:space="0" w:color="FFFFFF"/>
              <w:right w:val="single" w:sz="8" w:space="0" w:color="auto"/>
            </w:tcBorders>
            <w:shd w:val="clear" w:color="000000" w:fill="B6DDE8"/>
            <w:noWrap/>
            <w:vAlign w:val="center"/>
            <w:hideMark/>
          </w:tcPr>
          <w:p w14:paraId="1B4886A3"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$1,866,041</w:t>
            </w:r>
          </w:p>
        </w:tc>
      </w:tr>
      <w:tr w:rsidR="002C497E" w:rsidRPr="002C497E" w14:paraId="00ADD6B6" w14:textId="77777777" w:rsidTr="00DC3BEB">
        <w:trPr>
          <w:trHeight w:val="600"/>
        </w:trPr>
        <w:tc>
          <w:tcPr>
            <w:tcW w:w="1467" w:type="pct"/>
            <w:vMerge/>
            <w:tcBorders>
              <w:top w:val="single" w:sz="8" w:space="0" w:color="FFFFFF"/>
              <w:left w:val="single" w:sz="8" w:space="0" w:color="auto"/>
              <w:bottom w:val="single" w:sz="12" w:space="0" w:color="FFFFFF"/>
              <w:right w:val="thinThickSmallGap" w:sz="24" w:space="0" w:color="auto"/>
            </w:tcBorders>
            <w:vAlign w:val="center"/>
            <w:hideMark/>
          </w:tcPr>
          <w:p w14:paraId="6F597EE5" w14:textId="77777777" w:rsidR="002C497E" w:rsidRPr="002F0DCB" w:rsidRDefault="002C497E" w:rsidP="002C497E">
            <w:pPr>
              <w:spacing w:after="0"/>
              <w:jc w:val="left"/>
              <w:rPr>
                <w:rFonts w:ascii="Arial Narrow" w:hAnsi="Arial Narrow"/>
                <w:b/>
                <w:color w:val="FFFFFF"/>
                <w:szCs w:val="24"/>
                <w:lang w:eastAsia="en-AU"/>
              </w:rPr>
            </w:pPr>
          </w:p>
        </w:tc>
        <w:tc>
          <w:tcPr>
            <w:tcW w:w="822" w:type="pct"/>
            <w:tcBorders>
              <w:top w:val="nil"/>
              <w:left w:val="thinThickSmallGap" w:sz="24" w:space="0" w:color="auto"/>
              <w:bottom w:val="single" w:sz="8" w:space="0" w:color="FFFFFF"/>
              <w:right w:val="single" w:sz="8" w:space="0" w:color="FFFFFF"/>
            </w:tcBorders>
            <w:shd w:val="clear" w:color="000000" w:fill="D2EAF1"/>
            <w:vAlign w:val="center"/>
            <w:hideMark/>
          </w:tcPr>
          <w:p w14:paraId="5766130C"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Roads</w:t>
            </w:r>
          </w:p>
        </w:tc>
        <w:tc>
          <w:tcPr>
            <w:tcW w:w="1356" w:type="pct"/>
            <w:tcBorders>
              <w:top w:val="nil"/>
              <w:left w:val="nil"/>
              <w:bottom w:val="single" w:sz="8" w:space="0" w:color="FFFFFF"/>
              <w:right w:val="single" w:sz="8" w:space="0" w:color="FFFFFF"/>
            </w:tcBorders>
            <w:shd w:val="clear" w:color="000000" w:fill="DAEEF3"/>
            <w:vAlign w:val="center"/>
            <w:hideMark/>
          </w:tcPr>
          <w:p w14:paraId="01F596F1"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106,421</w:t>
            </w:r>
          </w:p>
        </w:tc>
        <w:tc>
          <w:tcPr>
            <w:tcW w:w="1356" w:type="pct"/>
            <w:tcBorders>
              <w:top w:val="nil"/>
              <w:left w:val="nil"/>
              <w:bottom w:val="single" w:sz="8" w:space="0" w:color="FFFFFF"/>
              <w:right w:val="single" w:sz="8" w:space="0" w:color="auto"/>
            </w:tcBorders>
            <w:shd w:val="clear" w:color="000000" w:fill="DAEEF3"/>
            <w:noWrap/>
            <w:vAlign w:val="center"/>
            <w:hideMark/>
          </w:tcPr>
          <w:p w14:paraId="45AC5E63"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$2,270,311</w:t>
            </w:r>
          </w:p>
        </w:tc>
      </w:tr>
      <w:tr w:rsidR="002C497E" w:rsidRPr="002C497E" w14:paraId="3E3C63F9" w14:textId="77777777" w:rsidTr="00DC3BEB">
        <w:trPr>
          <w:trHeight w:val="600"/>
        </w:trPr>
        <w:tc>
          <w:tcPr>
            <w:tcW w:w="1467" w:type="pct"/>
            <w:vMerge w:val="restart"/>
            <w:tcBorders>
              <w:top w:val="single" w:sz="8" w:space="0" w:color="FFFFFF"/>
              <w:left w:val="single" w:sz="8" w:space="0" w:color="auto"/>
              <w:bottom w:val="single" w:sz="12" w:space="0" w:color="FFFFFF"/>
              <w:right w:val="thinThickSmallGap" w:sz="24" w:space="0" w:color="auto"/>
            </w:tcBorders>
            <w:shd w:val="clear" w:color="000000" w:fill="4BACC6"/>
            <w:vAlign w:val="center"/>
            <w:hideMark/>
          </w:tcPr>
          <w:p w14:paraId="2812A6F6"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Brick</w:t>
            </w:r>
          </w:p>
        </w:tc>
        <w:tc>
          <w:tcPr>
            <w:tcW w:w="822" w:type="pct"/>
            <w:tcBorders>
              <w:top w:val="nil"/>
              <w:left w:val="thinThickSmallGap" w:sz="24" w:space="0" w:color="auto"/>
              <w:bottom w:val="single" w:sz="8" w:space="0" w:color="FFFFFF"/>
              <w:right w:val="single" w:sz="8" w:space="0" w:color="FFFFFF"/>
            </w:tcBorders>
            <w:shd w:val="clear" w:color="000000" w:fill="B6DDE8"/>
            <w:vAlign w:val="center"/>
            <w:hideMark/>
          </w:tcPr>
          <w:p w14:paraId="6E9BF099"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Parks</w:t>
            </w:r>
          </w:p>
        </w:tc>
        <w:tc>
          <w:tcPr>
            <w:tcW w:w="1356" w:type="pct"/>
            <w:tcBorders>
              <w:top w:val="nil"/>
              <w:left w:val="nil"/>
              <w:bottom w:val="single" w:sz="8" w:space="0" w:color="FFFFFF"/>
              <w:right w:val="single" w:sz="8" w:space="0" w:color="FFFFFF"/>
            </w:tcBorders>
            <w:shd w:val="clear" w:color="000000" w:fill="B6DDE8"/>
            <w:vAlign w:val="center"/>
            <w:hideMark/>
          </w:tcPr>
          <w:p w14:paraId="6F6A22FD"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2,152</w:t>
            </w:r>
          </w:p>
        </w:tc>
        <w:tc>
          <w:tcPr>
            <w:tcW w:w="1356" w:type="pct"/>
            <w:tcBorders>
              <w:top w:val="nil"/>
              <w:left w:val="nil"/>
              <w:bottom w:val="single" w:sz="8" w:space="0" w:color="FFFFFF"/>
              <w:right w:val="single" w:sz="8" w:space="0" w:color="auto"/>
            </w:tcBorders>
            <w:shd w:val="clear" w:color="000000" w:fill="B6DDE8"/>
            <w:noWrap/>
            <w:vAlign w:val="center"/>
            <w:hideMark/>
          </w:tcPr>
          <w:p w14:paraId="55CD40D1"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$130,785</w:t>
            </w:r>
          </w:p>
        </w:tc>
      </w:tr>
      <w:tr w:rsidR="002C497E" w:rsidRPr="002C497E" w14:paraId="741C7B43" w14:textId="77777777" w:rsidTr="00DC3BEB">
        <w:trPr>
          <w:trHeight w:val="600"/>
        </w:trPr>
        <w:tc>
          <w:tcPr>
            <w:tcW w:w="1467" w:type="pct"/>
            <w:vMerge/>
            <w:tcBorders>
              <w:top w:val="single" w:sz="8" w:space="0" w:color="FFFFFF"/>
              <w:left w:val="single" w:sz="8" w:space="0" w:color="auto"/>
              <w:bottom w:val="single" w:sz="12" w:space="0" w:color="FFFFFF"/>
              <w:right w:val="thinThickSmallGap" w:sz="24" w:space="0" w:color="auto"/>
            </w:tcBorders>
            <w:vAlign w:val="center"/>
            <w:hideMark/>
          </w:tcPr>
          <w:p w14:paraId="2DD41D54" w14:textId="77777777" w:rsidR="002C497E" w:rsidRPr="002F0DCB" w:rsidRDefault="002C497E" w:rsidP="002C497E">
            <w:pPr>
              <w:spacing w:after="0"/>
              <w:jc w:val="left"/>
              <w:rPr>
                <w:rFonts w:ascii="Arial Narrow" w:hAnsi="Arial Narrow"/>
                <w:b/>
                <w:color w:val="FFFFFF"/>
                <w:szCs w:val="24"/>
                <w:lang w:eastAsia="en-AU"/>
              </w:rPr>
            </w:pPr>
          </w:p>
        </w:tc>
        <w:tc>
          <w:tcPr>
            <w:tcW w:w="822" w:type="pct"/>
            <w:tcBorders>
              <w:top w:val="nil"/>
              <w:left w:val="thinThickSmallGap" w:sz="24" w:space="0" w:color="auto"/>
              <w:bottom w:val="single" w:sz="8" w:space="0" w:color="FFFFFF"/>
              <w:right w:val="single" w:sz="8" w:space="0" w:color="FFFFFF"/>
            </w:tcBorders>
            <w:shd w:val="clear" w:color="000000" w:fill="D2EAF1"/>
            <w:vAlign w:val="center"/>
            <w:hideMark/>
          </w:tcPr>
          <w:p w14:paraId="3D75D923"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Roads</w:t>
            </w:r>
          </w:p>
        </w:tc>
        <w:tc>
          <w:tcPr>
            <w:tcW w:w="1356" w:type="pct"/>
            <w:tcBorders>
              <w:top w:val="nil"/>
              <w:left w:val="nil"/>
              <w:bottom w:val="single" w:sz="8" w:space="0" w:color="FFFFFF"/>
              <w:right w:val="single" w:sz="8" w:space="0" w:color="FFFFFF"/>
            </w:tcBorders>
            <w:shd w:val="clear" w:color="000000" w:fill="DAEEF3"/>
            <w:vAlign w:val="center"/>
            <w:hideMark/>
          </w:tcPr>
          <w:p w14:paraId="6D17E157"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23,729</w:t>
            </w:r>
          </w:p>
        </w:tc>
        <w:tc>
          <w:tcPr>
            <w:tcW w:w="1356" w:type="pct"/>
            <w:tcBorders>
              <w:top w:val="nil"/>
              <w:left w:val="nil"/>
              <w:bottom w:val="single" w:sz="8" w:space="0" w:color="FFFFFF"/>
              <w:right w:val="single" w:sz="8" w:space="0" w:color="auto"/>
            </w:tcBorders>
            <w:shd w:val="clear" w:color="000000" w:fill="DAEEF3"/>
            <w:noWrap/>
            <w:vAlign w:val="center"/>
            <w:hideMark/>
          </w:tcPr>
          <w:p w14:paraId="482CA756"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$1,442,246</w:t>
            </w:r>
          </w:p>
        </w:tc>
      </w:tr>
      <w:tr w:rsidR="002C497E" w:rsidRPr="002C497E" w14:paraId="383944E7" w14:textId="77777777" w:rsidTr="00DC3BEB">
        <w:trPr>
          <w:trHeight w:val="600"/>
        </w:trPr>
        <w:tc>
          <w:tcPr>
            <w:tcW w:w="1467" w:type="pct"/>
            <w:vMerge w:val="restart"/>
            <w:tcBorders>
              <w:top w:val="single" w:sz="8" w:space="0" w:color="FFFFFF"/>
              <w:left w:val="single" w:sz="8" w:space="0" w:color="auto"/>
              <w:bottom w:val="single" w:sz="12" w:space="0" w:color="FFFFFF"/>
              <w:right w:val="thinThickSmallGap" w:sz="24" w:space="0" w:color="auto"/>
            </w:tcBorders>
            <w:shd w:val="clear" w:color="000000" w:fill="4BACC6"/>
            <w:vAlign w:val="center"/>
            <w:hideMark/>
          </w:tcPr>
          <w:p w14:paraId="03B19E33"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Concrete</w:t>
            </w:r>
          </w:p>
        </w:tc>
        <w:tc>
          <w:tcPr>
            <w:tcW w:w="822" w:type="pct"/>
            <w:tcBorders>
              <w:top w:val="nil"/>
              <w:left w:val="thinThickSmallGap" w:sz="24" w:space="0" w:color="auto"/>
              <w:bottom w:val="single" w:sz="8" w:space="0" w:color="FFFFFF"/>
              <w:right w:val="single" w:sz="8" w:space="0" w:color="FFFFFF"/>
            </w:tcBorders>
            <w:shd w:val="clear" w:color="000000" w:fill="B6DDE8"/>
            <w:vAlign w:val="center"/>
            <w:hideMark/>
          </w:tcPr>
          <w:p w14:paraId="500EAA85"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Parks</w:t>
            </w:r>
          </w:p>
        </w:tc>
        <w:tc>
          <w:tcPr>
            <w:tcW w:w="1356" w:type="pct"/>
            <w:tcBorders>
              <w:top w:val="nil"/>
              <w:left w:val="nil"/>
              <w:bottom w:val="single" w:sz="8" w:space="0" w:color="FFFFFF"/>
              <w:right w:val="single" w:sz="8" w:space="0" w:color="FFFFFF"/>
            </w:tcBorders>
            <w:shd w:val="clear" w:color="000000" w:fill="B6DDE8"/>
            <w:vAlign w:val="center"/>
            <w:hideMark/>
          </w:tcPr>
          <w:p w14:paraId="5DB09FA9"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149,396</w:t>
            </w:r>
          </w:p>
        </w:tc>
        <w:tc>
          <w:tcPr>
            <w:tcW w:w="1356" w:type="pct"/>
            <w:tcBorders>
              <w:top w:val="nil"/>
              <w:left w:val="nil"/>
              <w:bottom w:val="single" w:sz="8" w:space="0" w:color="FFFFFF"/>
              <w:right w:val="single" w:sz="8" w:space="0" w:color="auto"/>
            </w:tcBorders>
            <w:shd w:val="clear" w:color="000000" w:fill="B6DDE8"/>
            <w:noWrap/>
            <w:vAlign w:val="center"/>
            <w:hideMark/>
          </w:tcPr>
          <w:p w14:paraId="5BE9ED16"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$9,710,730</w:t>
            </w:r>
          </w:p>
        </w:tc>
      </w:tr>
      <w:tr w:rsidR="002C497E" w:rsidRPr="002C497E" w14:paraId="26A0B79F" w14:textId="77777777" w:rsidTr="00DC3BEB">
        <w:trPr>
          <w:trHeight w:val="600"/>
        </w:trPr>
        <w:tc>
          <w:tcPr>
            <w:tcW w:w="1467" w:type="pct"/>
            <w:vMerge/>
            <w:tcBorders>
              <w:top w:val="single" w:sz="8" w:space="0" w:color="FFFFFF"/>
              <w:left w:val="single" w:sz="8" w:space="0" w:color="auto"/>
              <w:bottom w:val="single" w:sz="12" w:space="0" w:color="FFFFFF"/>
              <w:right w:val="thinThickSmallGap" w:sz="24" w:space="0" w:color="auto"/>
            </w:tcBorders>
            <w:vAlign w:val="center"/>
            <w:hideMark/>
          </w:tcPr>
          <w:p w14:paraId="08151894" w14:textId="77777777" w:rsidR="002C497E" w:rsidRPr="002F0DCB" w:rsidRDefault="002C497E" w:rsidP="002C497E">
            <w:pPr>
              <w:spacing w:after="0"/>
              <w:jc w:val="left"/>
              <w:rPr>
                <w:rFonts w:ascii="Arial Narrow" w:hAnsi="Arial Narrow"/>
                <w:b/>
                <w:color w:val="FFFFFF"/>
                <w:szCs w:val="24"/>
                <w:lang w:eastAsia="en-AU"/>
              </w:rPr>
            </w:pPr>
          </w:p>
        </w:tc>
        <w:tc>
          <w:tcPr>
            <w:tcW w:w="822" w:type="pct"/>
            <w:tcBorders>
              <w:top w:val="nil"/>
              <w:left w:val="thinThickSmallGap" w:sz="24" w:space="0" w:color="auto"/>
              <w:bottom w:val="single" w:sz="8" w:space="0" w:color="FFFFFF"/>
              <w:right w:val="single" w:sz="8" w:space="0" w:color="FFFFFF"/>
            </w:tcBorders>
            <w:shd w:val="clear" w:color="000000" w:fill="D2EAF1"/>
            <w:vAlign w:val="center"/>
            <w:hideMark/>
          </w:tcPr>
          <w:p w14:paraId="2C5CA442"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Roads</w:t>
            </w:r>
          </w:p>
        </w:tc>
        <w:tc>
          <w:tcPr>
            <w:tcW w:w="1356" w:type="pct"/>
            <w:tcBorders>
              <w:top w:val="nil"/>
              <w:left w:val="nil"/>
              <w:bottom w:val="single" w:sz="8" w:space="0" w:color="FFFFFF"/>
              <w:right w:val="single" w:sz="8" w:space="0" w:color="FFFFFF"/>
            </w:tcBorders>
            <w:shd w:val="clear" w:color="000000" w:fill="DAEEF3"/>
            <w:vAlign w:val="center"/>
            <w:hideMark/>
          </w:tcPr>
          <w:p w14:paraId="79163E2E"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1,077,695</w:t>
            </w:r>
          </w:p>
        </w:tc>
        <w:tc>
          <w:tcPr>
            <w:tcW w:w="1356" w:type="pct"/>
            <w:tcBorders>
              <w:top w:val="nil"/>
              <w:left w:val="nil"/>
              <w:bottom w:val="single" w:sz="8" w:space="0" w:color="FFFFFF"/>
              <w:right w:val="single" w:sz="8" w:space="0" w:color="auto"/>
            </w:tcBorders>
            <w:shd w:val="clear" w:color="000000" w:fill="DAEEF3"/>
            <w:noWrap/>
            <w:vAlign w:val="center"/>
            <w:hideMark/>
          </w:tcPr>
          <w:p w14:paraId="655C727B"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$70,318,776</w:t>
            </w:r>
          </w:p>
        </w:tc>
      </w:tr>
      <w:tr w:rsidR="002C497E" w:rsidRPr="002C497E" w14:paraId="29BFD297" w14:textId="77777777" w:rsidTr="00DC3BEB">
        <w:trPr>
          <w:trHeight w:val="600"/>
        </w:trPr>
        <w:tc>
          <w:tcPr>
            <w:tcW w:w="1467" w:type="pct"/>
            <w:vMerge w:val="restart"/>
            <w:tcBorders>
              <w:top w:val="single" w:sz="8" w:space="0" w:color="FFFFFF"/>
              <w:left w:val="single" w:sz="8" w:space="0" w:color="auto"/>
              <w:bottom w:val="single" w:sz="12" w:space="0" w:color="FFFFFF"/>
              <w:right w:val="thinThickSmallGap" w:sz="24" w:space="0" w:color="auto"/>
            </w:tcBorders>
            <w:shd w:val="clear" w:color="000000" w:fill="4BACC6"/>
            <w:vAlign w:val="center"/>
            <w:hideMark/>
          </w:tcPr>
          <w:p w14:paraId="7EB1078E" w14:textId="77777777" w:rsidR="002C497E" w:rsidRPr="002F0DCB" w:rsidRDefault="002C497E" w:rsidP="002C497E">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Wood</w:t>
            </w:r>
          </w:p>
        </w:tc>
        <w:tc>
          <w:tcPr>
            <w:tcW w:w="822" w:type="pct"/>
            <w:tcBorders>
              <w:top w:val="nil"/>
              <w:left w:val="thinThickSmallGap" w:sz="24" w:space="0" w:color="auto"/>
              <w:bottom w:val="single" w:sz="8" w:space="0" w:color="FFFFFF"/>
              <w:right w:val="single" w:sz="8" w:space="0" w:color="FFFFFF"/>
            </w:tcBorders>
            <w:shd w:val="clear" w:color="000000" w:fill="B6DDE8"/>
            <w:vAlign w:val="center"/>
            <w:hideMark/>
          </w:tcPr>
          <w:p w14:paraId="687BC6A6"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Parks</w:t>
            </w:r>
          </w:p>
        </w:tc>
        <w:tc>
          <w:tcPr>
            <w:tcW w:w="1356" w:type="pct"/>
            <w:tcBorders>
              <w:top w:val="nil"/>
              <w:left w:val="nil"/>
              <w:bottom w:val="single" w:sz="8" w:space="0" w:color="FFFFFF"/>
              <w:right w:val="single" w:sz="8" w:space="0" w:color="FFFFFF"/>
            </w:tcBorders>
            <w:shd w:val="clear" w:color="000000" w:fill="B6DDE8"/>
            <w:vAlign w:val="center"/>
            <w:hideMark/>
          </w:tcPr>
          <w:p w14:paraId="6F80B614"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515</w:t>
            </w:r>
          </w:p>
        </w:tc>
        <w:tc>
          <w:tcPr>
            <w:tcW w:w="1356" w:type="pct"/>
            <w:tcBorders>
              <w:top w:val="nil"/>
              <w:left w:val="nil"/>
              <w:bottom w:val="single" w:sz="8" w:space="0" w:color="FFFFFF"/>
              <w:right w:val="single" w:sz="8" w:space="0" w:color="auto"/>
            </w:tcBorders>
            <w:shd w:val="clear" w:color="000000" w:fill="B6DDE8"/>
            <w:noWrap/>
            <w:vAlign w:val="center"/>
            <w:hideMark/>
          </w:tcPr>
          <w:p w14:paraId="37D60D0F"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$51,457</w:t>
            </w:r>
          </w:p>
        </w:tc>
      </w:tr>
      <w:tr w:rsidR="002C497E" w:rsidRPr="002C497E" w14:paraId="3C450724" w14:textId="77777777" w:rsidTr="00DC3BEB">
        <w:trPr>
          <w:trHeight w:val="600"/>
        </w:trPr>
        <w:tc>
          <w:tcPr>
            <w:tcW w:w="1467" w:type="pct"/>
            <w:vMerge/>
            <w:tcBorders>
              <w:top w:val="single" w:sz="8" w:space="0" w:color="FFFFFF"/>
              <w:left w:val="single" w:sz="8" w:space="0" w:color="auto"/>
              <w:bottom w:val="single" w:sz="8" w:space="0" w:color="auto"/>
              <w:right w:val="thinThickSmallGap" w:sz="24" w:space="0" w:color="auto"/>
            </w:tcBorders>
            <w:vAlign w:val="center"/>
            <w:hideMark/>
          </w:tcPr>
          <w:p w14:paraId="3EFEB20A" w14:textId="77777777" w:rsidR="002C497E" w:rsidRPr="002C497E" w:rsidRDefault="002C497E" w:rsidP="002C497E">
            <w:pPr>
              <w:spacing w:after="0"/>
              <w:jc w:val="left"/>
              <w:rPr>
                <w:rFonts w:ascii="Arial Narrow" w:hAnsi="Arial Narrow"/>
                <w:color w:val="FFFFFF"/>
                <w:szCs w:val="24"/>
                <w:lang w:eastAsia="en-AU"/>
              </w:rPr>
            </w:pPr>
          </w:p>
        </w:tc>
        <w:tc>
          <w:tcPr>
            <w:tcW w:w="822" w:type="pct"/>
            <w:tcBorders>
              <w:top w:val="nil"/>
              <w:left w:val="thinThickSmallGap" w:sz="24" w:space="0" w:color="auto"/>
              <w:bottom w:val="single" w:sz="8" w:space="0" w:color="auto"/>
              <w:right w:val="single" w:sz="8" w:space="0" w:color="FFFFFF"/>
            </w:tcBorders>
            <w:shd w:val="clear" w:color="000000" w:fill="DAEEF3"/>
            <w:vAlign w:val="center"/>
            <w:hideMark/>
          </w:tcPr>
          <w:p w14:paraId="4C00F28A"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Roads</w:t>
            </w:r>
          </w:p>
        </w:tc>
        <w:tc>
          <w:tcPr>
            <w:tcW w:w="1356" w:type="pct"/>
            <w:tcBorders>
              <w:top w:val="nil"/>
              <w:left w:val="nil"/>
              <w:bottom w:val="single" w:sz="8" w:space="0" w:color="auto"/>
              <w:right w:val="single" w:sz="8" w:space="0" w:color="FFFFFF"/>
            </w:tcBorders>
            <w:shd w:val="clear" w:color="000000" w:fill="DAEEF3"/>
            <w:vAlign w:val="center"/>
            <w:hideMark/>
          </w:tcPr>
          <w:p w14:paraId="5B6567DB"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0</w:t>
            </w:r>
          </w:p>
        </w:tc>
        <w:tc>
          <w:tcPr>
            <w:tcW w:w="1356" w:type="pct"/>
            <w:tcBorders>
              <w:top w:val="nil"/>
              <w:left w:val="nil"/>
              <w:bottom w:val="single" w:sz="8" w:space="0" w:color="auto"/>
              <w:right w:val="single" w:sz="8" w:space="0" w:color="auto"/>
            </w:tcBorders>
            <w:shd w:val="clear" w:color="000000" w:fill="DAEEF3"/>
            <w:noWrap/>
            <w:vAlign w:val="center"/>
            <w:hideMark/>
          </w:tcPr>
          <w:p w14:paraId="5C4E2096" w14:textId="77777777" w:rsidR="002C497E" w:rsidRPr="002C497E" w:rsidRDefault="002C497E" w:rsidP="002C497E">
            <w:pPr>
              <w:spacing w:after="0"/>
              <w:jc w:val="center"/>
              <w:rPr>
                <w:rFonts w:ascii="Arial Narrow" w:hAnsi="Arial Narrow"/>
                <w:color w:val="000000"/>
                <w:szCs w:val="24"/>
                <w:lang w:eastAsia="en-AU"/>
              </w:rPr>
            </w:pPr>
            <w:r w:rsidRPr="002C497E">
              <w:rPr>
                <w:rFonts w:ascii="Arial Narrow" w:hAnsi="Arial Narrow"/>
                <w:color w:val="000000"/>
                <w:szCs w:val="24"/>
                <w:lang w:eastAsia="en-AU"/>
              </w:rPr>
              <w:t>$0</w:t>
            </w:r>
          </w:p>
        </w:tc>
      </w:tr>
      <w:tr w:rsidR="002C497E" w:rsidRPr="002C497E" w14:paraId="3FC124B6" w14:textId="77777777" w:rsidTr="00DC3BEB">
        <w:trPr>
          <w:trHeight w:val="600"/>
        </w:trPr>
        <w:tc>
          <w:tcPr>
            <w:tcW w:w="2289" w:type="pct"/>
            <w:gridSpan w:val="2"/>
            <w:tcBorders>
              <w:top w:val="single" w:sz="8" w:space="0" w:color="auto"/>
              <w:left w:val="single" w:sz="8" w:space="0" w:color="auto"/>
              <w:bottom w:val="single" w:sz="8" w:space="0" w:color="auto"/>
              <w:right w:val="single" w:sz="8" w:space="0" w:color="FFFFFF"/>
            </w:tcBorders>
            <w:shd w:val="clear" w:color="auto" w:fill="auto"/>
            <w:vAlign w:val="center"/>
            <w:hideMark/>
          </w:tcPr>
          <w:p w14:paraId="3F2FB217" w14:textId="77777777" w:rsidR="002C497E" w:rsidRPr="00360627" w:rsidRDefault="002C497E" w:rsidP="002C497E">
            <w:pPr>
              <w:spacing w:after="0"/>
              <w:jc w:val="center"/>
              <w:rPr>
                <w:rFonts w:ascii="Arial Narrow" w:hAnsi="Arial Narrow"/>
                <w:b/>
                <w:bCs/>
                <w:szCs w:val="24"/>
                <w:lang w:eastAsia="en-AU"/>
              </w:rPr>
            </w:pPr>
            <w:r w:rsidRPr="00360627">
              <w:rPr>
                <w:rFonts w:ascii="Arial Narrow" w:hAnsi="Arial Narrow"/>
                <w:b/>
                <w:bCs/>
                <w:szCs w:val="24"/>
                <w:lang w:eastAsia="en-AU"/>
              </w:rPr>
              <w:t>TOTAL</w:t>
            </w:r>
          </w:p>
        </w:tc>
        <w:tc>
          <w:tcPr>
            <w:tcW w:w="1356" w:type="pct"/>
            <w:tcBorders>
              <w:top w:val="single" w:sz="8" w:space="0" w:color="auto"/>
              <w:left w:val="nil"/>
              <w:bottom w:val="single" w:sz="8" w:space="0" w:color="auto"/>
              <w:right w:val="single" w:sz="8" w:space="0" w:color="FFFFFF"/>
            </w:tcBorders>
            <w:shd w:val="clear" w:color="auto" w:fill="auto"/>
            <w:vAlign w:val="center"/>
            <w:hideMark/>
          </w:tcPr>
          <w:p w14:paraId="23CFF72C" w14:textId="77777777" w:rsidR="002C497E" w:rsidRPr="00360627" w:rsidRDefault="002C497E" w:rsidP="002C497E">
            <w:pPr>
              <w:spacing w:after="0"/>
              <w:jc w:val="center"/>
              <w:rPr>
                <w:rFonts w:ascii="Arial Narrow" w:hAnsi="Arial Narrow"/>
                <w:b/>
                <w:bCs/>
                <w:szCs w:val="24"/>
                <w:lang w:eastAsia="en-AU"/>
              </w:rPr>
            </w:pPr>
            <w:r w:rsidRPr="00360627">
              <w:rPr>
                <w:rFonts w:ascii="Arial Narrow" w:hAnsi="Arial Narrow"/>
                <w:b/>
                <w:bCs/>
                <w:szCs w:val="24"/>
                <w:lang w:eastAsia="en-AU"/>
              </w:rPr>
              <w:t>1,450,379</w:t>
            </w:r>
          </w:p>
        </w:tc>
        <w:tc>
          <w:tcPr>
            <w:tcW w:w="1356" w:type="pct"/>
            <w:tcBorders>
              <w:top w:val="single" w:sz="8" w:space="0" w:color="auto"/>
              <w:left w:val="nil"/>
              <w:bottom w:val="single" w:sz="8" w:space="0" w:color="auto"/>
              <w:right w:val="single" w:sz="8" w:space="0" w:color="auto"/>
            </w:tcBorders>
            <w:shd w:val="clear" w:color="auto" w:fill="auto"/>
            <w:noWrap/>
            <w:vAlign w:val="center"/>
            <w:hideMark/>
          </w:tcPr>
          <w:p w14:paraId="7C4A0C27" w14:textId="77777777" w:rsidR="002C497E" w:rsidRPr="00360627" w:rsidRDefault="002C497E" w:rsidP="002C497E">
            <w:pPr>
              <w:spacing w:after="0"/>
              <w:jc w:val="center"/>
              <w:rPr>
                <w:rFonts w:ascii="Arial Narrow" w:hAnsi="Arial Narrow"/>
                <w:b/>
                <w:bCs/>
                <w:szCs w:val="24"/>
                <w:lang w:eastAsia="en-AU"/>
              </w:rPr>
            </w:pPr>
            <w:r w:rsidRPr="00360627">
              <w:rPr>
                <w:rFonts w:ascii="Arial Narrow" w:hAnsi="Arial Narrow"/>
                <w:b/>
                <w:bCs/>
                <w:szCs w:val="24"/>
                <w:lang w:eastAsia="en-AU"/>
              </w:rPr>
              <w:t>$85,790,345</w:t>
            </w:r>
          </w:p>
        </w:tc>
      </w:tr>
    </w:tbl>
    <w:p w14:paraId="6FAA2D5C" w14:textId="77777777" w:rsidR="00EC36EE" w:rsidRPr="00EC36EE" w:rsidRDefault="00EC36EE" w:rsidP="0026613B">
      <w:pPr>
        <w:pStyle w:val="BodyText"/>
      </w:pPr>
    </w:p>
    <w:p w14:paraId="6E9B1B0E" w14:textId="77777777" w:rsidR="0097033F" w:rsidRDefault="0097033F" w:rsidP="001819AF">
      <w:pPr>
        <w:pStyle w:val="BodyText"/>
        <w:spacing w:before="240"/>
        <w:ind w:right="375"/>
      </w:pPr>
      <w:r>
        <w:t>A breakdown of asset valuation by suburb is shown on the following table.</w:t>
      </w:r>
    </w:p>
    <w:tbl>
      <w:tblPr>
        <w:tblW w:w="5000" w:type="pct"/>
        <w:tblLook w:val="04A0" w:firstRow="1" w:lastRow="0" w:firstColumn="1" w:lastColumn="0" w:noHBand="0" w:noVBand="1"/>
      </w:tblPr>
      <w:tblGrid>
        <w:gridCol w:w="3113"/>
        <w:gridCol w:w="3668"/>
        <w:gridCol w:w="2882"/>
      </w:tblGrid>
      <w:tr w:rsidR="0063268B" w:rsidRPr="0063268B" w14:paraId="53540559" w14:textId="77777777" w:rsidTr="00DC3BEB">
        <w:trPr>
          <w:trHeight w:val="600"/>
          <w:tblHeader/>
        </w:trPr>
        <w:tc>
          <w:tcPr>
            <w:tcW w:w="1611" w:type="pct"/>
            <w:tcBorders>
              <w:top w:val="single" w:sz="8" w:space="0" w:color="auto"/>
              <w:left w:val="single" w:sz="8" w:space="0" w:color="auto"/>
              <w:bottom w:val="thinThickSmallGap" w:sz="24" w:space="0" w:color="auto"/>
              <w:right w:val="single" w:sz="8" w:space="0" w:color="FFFFFF"/>
            </w:tcBorders>
            <w:shd w:val="clear" w:color="000000" w:fill="4BACC6"/>
            <w:noWrap/>
            <w:vAlign w:val="center"/>
            <w:hideMark/>
          </w:tcPr>
          <w:p w14:paraId="4F69D302"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Suburb</w:t>
            </w:r>
          </w:p>
        </w:tc>
        <w:tc>
          <w:tcPr>
            <w:tcW w:w="1898" w:type="pct"/>
            <w:tcBorders>
              <w:top w:val="single" w:sz="8" w:space="0" w:color="auto"/>
              <w:left w:val="nil"/>
              <w:bottom w:val="thinThickSmallGap" w:sz="24" w:space="0" w:color="auto"/>
              <w:right w:val="single" w:sz="8" w:space="0" w:color="FFFFFF"/>
            </w:tcBorders>
            <w:shd w:val="clear" w:color="000000" w:fill="4BACC6"/>
            <w:noWrap/>
            <w:vAlign w:val="center"/>
            <w:hideMark/>
          </w:tcPr>
          <w:p w14:paraId="29D0D55C"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Area (m²)</w:t>
            </w:r>
          </w:p>
        </w:tc>
        <w:tc>
          <w:tcPr>
            <w:tcW w:w="1491" w:type="pct"/>
            <w:tcBorders>
              <w:top w:val="single" w:sz="8" w:space="0" w:color="auto"/>
              <w:left w:val="nil"/>
              <w:bottom w:val="thinThickSmallGap" w:sz="24" w:space="0" w:color="auto"/>
              <w:right w:val="single" w:sz="8" w:space="0" w:color="auto"/>
            </w:tcBorders>
            <w:shd w:val="clear" w:color="000000" w:fill="4BACC6"/>
            <w:noWrap/>
            <w:vAlign w:val="center"/>
            <w:hideMark/>
          </w:tcPr>
          <w:p w14:paraId="4B95F7E6"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CRC</w:t>
            </w:r>
          </w:p>
        </w:tc>
      </w:tr>
      <w:tr w:rsidR="0063268B" w:rsidRPr="0063268B" w14:paraId="40FFFB78" w14:textId="77777777" w:rsidTr="00DC3BEB">
        <w:trPr>
          <w:trHeight w:val="600"/>
        </w:trPr>
        <w:tc>
          <w:tcPr>
            <w:tcW w:w="1611" w:type="pct"/>
            <w:tcBorders>
              <w:top w:val="thinThickSmallGap" w:sz="24" w:space="0" w:color="auto"/>
              <w:left w:val="single" w:sz="8" w:space="0" w:color="auto"/>
              <w:bottom w:val="single" w:sz="8" w:space="0" w:color="FFFFFF"/>
              <w:right w:val="thinThickSmallGap" w:sz="24" w:space="0" w:color="auto"/>
            </w:tcBorders>
            <w:shd w:val="clear" w:color="000000" w:fill="4BACC6"/>
            <w:noWrap/>
            <w:vAlign w:val="center"/>
            <w:hideMark/>
          </w:tcPr>
          <w:p w14:paraId="595E1C85"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Atwell</w:t>
            </w:r>
          </w:p>
        </w:tc>
        <w:tc>
          <w:tcPr>
            <w:tcW w:w="1898" w:type="pct"/>
            <w:tcBorders>
              <w:top w:val="thinThickSmallGap" w:sz="24" w:space="0" w:color="auto"/>
              <w:left w:val="thinThickSmallGap" w:sz="24" w:space="0" w:color="auto"/>
              <w:bottom w:val="single" w:sz="8" w:space="0" w:color="FFFFFF"/>
              <w:right w:val="single" w:sz="8" w:space="0" w:color="FFFFFF"/>
            </w:tcBorders>
            <w:shd w:val="clear" w:color="000000" w:fill="A5D5E2"/>
            <w:noWrap/>
            <w:vAlign w:val="center"/>
            <w:hideMark/>
          </w:tcPr>
          <w:p w14:paraId="0A78F775"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87,812</w:t>
            </w:r>
          </w:p>
        </w:tc>
        <w:tc>
          <w:tcPr>
            <w:tcW w:w="1491" w:type="pct"/>
            <w:tcBorders>
              <w:top w:val="thinThickSmallGap" w:sz="24" w:space="0" w:color="auto"/>
              <w:left w:val="nil"/>
              <w:bottom w:val="single" w:sz="8" w:space="0" w:color="FFFFFF"/>
              <w:right w:val="single" w:sz="8" w:space="0" w:color="auto"/>
            </w:tcBorders>
            <w:shd w:val="clear" w:color="000000" w:fill="A5D5E2"/>
            <w:noWrap/>
            <w:vAlign w:val="center"/>
            <w:hideMark/>
          </w:tcPr>
          <w:p w14:paraId="5DB9EE83"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$5,441,770</w:t>
            </w:r>
          </w:p>
        </w:tc>
      </w:tr>
      <w:tr w:rsidR="0063268B" w:rsidRPr="0063268B" w14:paraId="585C66F2"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375F094E"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Aubin Grove</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53F4BF97"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71,941</w:t>
            </w:r>
          </w:p>
        </w:tc>
        <w:tc>
          <w:tcPr>
            <w:tcW w:w="1491" w:type="pct"/>
            <w:tcBorders>
              <w:top w:val="nil"/>
              <w:left w:val="nil"/>
              <w:bottom w:val="single" w:sz="8" w:space="0" w:color="FFFFFF"/>
              <w:right w:val="single" w:sz="8" w:space="0" w:color="auto"/>
            </w:tcBorders>
            <w:shd w:val="clear" w:color="000000" w:fill="DAEEF3"/>
            <w:noWrap/>
            <w:vAlign w:val="center"/>
            <w:hideMark/>
          </w:tcPr>
          <w:p w14:paraId="6F66DDEB"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$4,551,221</w:t>
            </w:r>
          </w:p>
        </w:tc>
      </w:tr>
      <w:tr w:rsidR="0063268B" w:rsidRPr="0063268B" w14:paraId="47E103CA" w14:textId="77777777" w:rsidTr="006F08FA">
        <w:trPr>
          <w:trHeight w:val="600"/>
        </w:trPr>
        <w:tc>
          <w:tcPr>
            <w:tcW w:w="1611" w:type="pct"/>
            <w:tcBorders>
              <w:top w:val="single" w:sz="8" w:space="0" w:color="FFFFFF"/>
              <w:left w:val="single" w:sz="8" w:space="0" w:color="auto"/>
              <w:bottom w:val="single" w:sz="4" w:space="0" w:color="FFFFFF" w:themeColor="background1"/>
              <w:right w:val="thinThickSmallGap" w:sz="24" w:space="0" w:color="auto"/>
            </w:tcBorders>
            <w:shd w:val="clear" w:color="000000" w:fill="4BACC6"/>
            <w:noWrap/>
            <w:vAlign w:val="center"/>
            <w:hideMark/>
          </w:tcPr>
          <w:p w14:paraId="6BE64560"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Banjup</w:t>
            </w:r>
          </w:p>
        </w:tc>
        <w:tc>
          <w:tcPr>
            <w:tcW w:w="1898" w:type="pct"/>
            <w:tcBorders>
              <w:top w:val="nil"/>
              <w:left w:val="thinThickSmallGap" w:sz="24" w:space="0" w:color="auto"/>
              <w:bottom w:val="single" w:sz="4" w:space="0" w:color="FFFFFF" w:themeColor="background1"/>
              <w:right w:val="single" w:sz="8" w:space="0" w:color="FFFFFF"/>
            </w:tcBorders>
            <w:shd w:val="clear" w:color="000000" w:fill="A5D5E2"/>
            <w:noWrap/>
            <w:vAlign w:val="center"/>
            <w:hideMark/>
          </w:tcPr>
          <w:p w14:paraId="7C00708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2,844</w:t>
            </w:r>
          </w:p>
        </w:tc>
        <w:tc>
          <w:tcPr>
            <w:tcW w:w="1491" w:type="pct"/>
            <w:tcBorders>
              <w:top w:val="nil"/>
              <w:left w:val="nil"/>
              <w:bottom w:val="single" w:sz="4" w:space="0" w:color="FFFFFF" w:themeColor="background1"/>
              <w:right w:val="single" w:sz="8" w:space="0" w:color="auto"/>
            </w:tcBorders>
            <w:shd w:val="clear" w:color="000000" w:fill="A5D5E2"/>
            <w:noWrap/>
            <w:vAlign w:val="center"/>
            <w:hideMark/>
          </w:tcPr>
          <w:p w14:paraId="37EADB04"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$115,348</w:t>
            </w:r>
          </w:p>
        </w:tc>
      </w:tr>
      <w:tr w:rsidR="0063268B" w:rsidRPr="0063268B" w14:paraId="52642E4F" w14:textId="77777777" w:rsidTr="006F08FA">
        <w:trPr>
          <w:trHeight w:val="600"/>
        </w:trPr>
        <w:tc>
          <w:tcPr>
            <w:tcW w:w="1611" w:type="pct"/>
            <w:tcBorders>
              <w:top w:val="single" w:sz="4" w:space="0" w:color="FFFFFF" w:themeColor="background1"/>
              <w:left w:val="single" w:sz="8" w:space="0" w:color="auto"/>
              <w:bottom w:val="single" w:sz="8" w:space="0" w:color="auto"/>
              <w:right w:val="thinThickSmallGap" w:sz="24" w:space="0" w:color="auto"/>
            </w:tcBorders>
            <w:shd w:val="clear" w:color="000000" w:fill="4BACC6"/>
            <w:noWrap/>
            <w:vAlign w:val="center"/>
            <w:hideMark/>
          </w:tcPr>
          <w:p w14:paraId="1E5B4655"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Beeliar</w:t>
            </w:r>
          </w:p>
        </w:tc>
        <w:tc>
          <w:tcPr>
            <w:tcW w:w="1898" w:type="pct"/>
            <w:tcBorders>
              <w:top w:val="single" w:sz="4" w:space="0" w:color="FFFFFF" w:themeColor="background1"/>
              <w:left w:val="thinThickSmallGap" w:sz="24" w:space="0" w:color="auto"/>
              <w:bottom w:val="single" w:sz="8" w:space="0" w:color="auto"/>
              <w:right w:val="single" w:sz="8" w:space="0" w:color="FFFFFF"/>
            </w:tcBorders>
            <w:shd w:val="clear" w:color="000000" w:fill="DAEEF3"/>
            <w:noWrap/>
            <w:vAlign w:val="center"/>
            <w:hideMark/>
          </w:tcPr>
          <w:p w14:paraId="2EA5FE93"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77,112</w:t>
            </w:r>
          </w:p>
        </w:tc>
        <w:tc>
          <w:tcPr>
            <w:tcW w:w="1491" w:type="pct"/>
            <w:tcBorders>
              <w:top w:val="single" w:sz="4" w:space="0" w:color="FFFFFF" w:themeColor="background1"/>
              <w:left w:val="nil"/>
              <w:bottom w:val="single" w:sz="8" w:space="0" w:color="auto"/>
              <w:right w:val="single" w:sz="8" w:space="0" w:color="auto"/>
            </w:tcBorders>
            <w:shd w:val="clear" w:color="000000" w:fill="DAEEF3"/>
            <w:noWrap/>
            <w:vAlign w:val="center"/>
            <w:hideMark/>
          </w:tcPr>
          <w:p w14:paraId="3124231F"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$4,461,152</w:t>
            </w:r>
          </w:p>
        </w:tc>
      </w:tr>
      <w:tr w:rsidR="0063268B" w:rsidRPr="0063268B" w14:paraId="44D1718D" w14:textId="77777777" w:rsidTr="00DC3BEB">
        <w:trPr>
          <w:trHeight w:val="600"/>
        </w:trPr>
        <w:tc>
          <w:tcPr>
            <w:tcW w:w="1611" w:type="pct"/>
            <w:tcBorders>
              <w:top w:val="single" w:sz="8" w:space="0" w:color="auto"/>
              <w:left w:val="single" w:sz="8" w:space="0" w:color="auto"/>
              <w:bottom w:val="single" w:sz="8" w:space="0" w:color="FFFFFF"/>
              <w:right w:val="thinThickSmallGap" w:sz="24" w:space="0" w:color="auto"/>
            </w:tcBorders>
            <w:shd w:val="clear" w:color="000000" w:fill="4BACC6"/>
            <w:noWrap/>
            <w:vAlign w:val="center"/>
            <w:hideMark/>
          </w:tcPr>
          <w:p w14:paraId="68516291" w14:textId="77777777" w:rsidR="0063268B" w:rsidRPr="002F0DCB" w:rsidRDefault="002F0DC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lastRenderedPageBreak/>
              <w:t>Bibra L</w:t>
            </w:r>
            <w:r w:rsidR="0063268B" w:rsidRPr="002F0DCB">
              <w:rPr>
                <w:rFonts w:ascii="Arial Narrow" w:hAnsi="Arial Narrow"/>
                <w:b/>
                <w:color w:val="FFFFFF"/>
                <w:sz w:val="22"/>
                <w:szCs w:val="22"/>
                <w:lang w:eastAsia="en-AU"/>
              </w:rPr>
              <w:t>ake</w:t>
            </w:r>
          </w:p>
        </w:tc>
        <w:tc>
          <w:tcPr>
            <w:tcW w:w="1898" w:type="pct"/>
            <w:tcBorders>
              <w:top w:val="single" w:sz="8" w:space="0" w:color="auto"/>
              <w:left w:val="thinThickSmallGap" w:sz="24" w:space="0" w:color="auto"/>
              <w:bottom w:val="single" w:sz="8" w:space="0" w:color="FFFFFF"/>
              <w:right w:val="single" w:sz="8" w:space="0" w:color="FFFFFF"/>
            </w:tcBorders>
            <w:shd w:val="clear" w:color="000000" w:fill="A5D5E2"/>
            <w:noWrap/>
            <w:vAlign w:val="center"/>
            <w:hideMark/>
          </w:tcPr>
          <w:p w14:paraId="153F34A9"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123,757</w:t>
            </w:r>
          </w:p>
        </w:tc>
        <w:tc>
          <w:tcPr>
            <w:tcW w:w="1491" w:type="pct"/>
            <w:tcBorders>
              <w:top w:val="single" w:sz="8" w:space="0" w:color="auto"/>
              <w:left w:val="nil"/>
              <w:bottom w:val="single" w:sz="8" w:space="0" w:color="FFFFFF"/>
              <w:right w:val="single" w:sz="8" w:space="0" w:color="auto"/>
            </w:tcBorders>
            <w:shd w:val="clear" w:color="000000" w:fill="A5D5E2"/>
            <w:noWrap/>
            <w:vAlign w:val="center"/>
            <w:hideMark/>
          </w:tcPr>
          <w:p w14:paraId="34D40505"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$6,751,633</w:t>
            </w:r>
          </w:p>
        </w:tc>
      </w:tr>
      <w:tr w:rsidR="0063268B" w:rsidRPr="0063268B" w14:paraId="5C035FCD"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31FDF4CE"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Cockburn Central</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76A560B8"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59,562</w:t>
            </w:r>
          </w:p>
        </w:tc>
        <w:tc>
          <w:tcPr>
            <w:tcW w:w="1491" w:type="pct"/>
            <w:tcBorders>
              <w:top w:val="nil"/>
              <w:left w:val="nil"/>
              <w:bottom w:val="single" w:sz="8" w:space="0" w:color="FFFFFF"/>
              <w:right w:val="single" w:sz="8" w:space="0" w:color="auto"/>
            </w:tcBorders>
            <w:shd w:val="clear" w:color="000000" w:fill="DAEEF3"/>
            <w:noWrap/>
            <w:vAlign w:val="center"/>
            <w:hideMark/>
          </w:tcPr>
          <w:p w14:paraId="417C6389"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$3,652,359</w:t>
            </w:r>
          </w:p>
        </w:tc>
      </w:tr>
      <w:tr w:rsidR="0063268B" w:rsidRPr="0063268B" w14:paraId="15872D7C"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087F1DEF"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Coogee</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0FAC00D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60,474</w:t>
            </w:r>
          </w:p>
        </w:tc>
        <w:tc>
          <w:tcPr>
            <w:tcW w:w="1491" w:type="pct"/>
            <w:tcBorders>
              <w:top w:val="nil"/>
              <w:left w:val="nil"/>
              <w:bottom w:val="single" w:sz="8" w:space="0" w:color="FFFFFF"/>
              <w:right w:val="single" w:sz="8" w:space="0" w:color="auto"/>
            </w:tcBorders>
            <w:shd w:val="clear" w:color="000000" w:fill="A5D5E2"/>
            <w:noWrap/>
            <w:vAlign w:val="center"/>
            <w:hideMark/>
          </w:tcPr>
          <w:p w14:paraId="54A9EA1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$3,165,071</w:t>
            </w:r>
          </w:p>
        </w:tc>
      </w:tr>
      <w:tr w:rsidR="0063268B" w:rsidRPr="0063268B" w14:paraId="73FE2AFE"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7DE8A471"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Coolbellup</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60F97E4E"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72,064</w:t>
            </w:r>
          </w:p>
        </w:tc>
        <w:tc>
          <w:tcPr>
            <w:tcW w:w="1491" w:type="pct"/>
            <w:tcBorders>
              <w:top w:val="nil"/>
              <w:left w:val="nil"/>
              <w:bottom w:val="single" w:sz="8" w:space="0" w:color="FFFFFF"/>
              <w:right w:val="single" w:sz="8" w:space="0" w:color="auto"/>
            </w:tcBorders>
            <w:shd w:val="clear" w:color="000000" w:fill="DAEEF3"/>
            <w:noWrap/>
            <w:vAlign w:val="center"/>
            <w:hideMark/>
          </w:tcPr>
          <w:p w14:paraId="5E6F6EE5"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$4,504,329</w:t>
            </w:r>
          </w:p>
        </w:tc>
      </w:tr>
      <w:tr w:rsidR="0063268B" w:rsidRPr="0063268B" w14:paraId="56F0AC11"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78C45060"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Hamilton Hill</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1E4C67B1"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123,930</w:t>
            </w:r>
          </w:p>
        </w:tc>
        <w:tc>
          <w:tcPr>
            <w:tcW w:w="1491" w:type="pct"/>
            <w:tcBorders>
              <w:top w:val="nil"/>
              <w:left w:val="nil"/>
              <w:bottom w:val="single" w:sz="8" w:space="0" w:color="FFFFFF"/>
              <w:right w:val="single" w:sz="8" w:space="0" w:color="auto"/>
            </w:tcBorders>
            <w:shd w:val="clear" w:color="000000" w:fill="A5D5E2"/>
            <w:noWrap/>
            <w:vAlign w:val="center"/>
            <w:hideMark/>
          </w:tcPr>
          <w:p w14:paraId="7432ABAB"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$7,853,606</w:t>
            </w:r>
          </w:p>
        </w:tc>
      </w:tr>
      <w:tr w:rsidR="0063268B" w:rsidRPr="0063268B" w14:paraId="32DB511C"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6A05E635"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Hammond Park</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7F5D7DE1"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83,991</w:t>
            </w:r>
          </w:p>
        </w:tc>
        <w:tc>
          <w:tcPr>
            <w:tcW w:w="1491" w:type="pct"/>
            <w:tcBorders>
              <w:top w:val="nil"/>
              <w:left w:val="nil"/>
              <w:bottom w:val="single" w:sz="8" w:space="0" w:color="FFFFFF"/>
              <w:right w:val="single" w:sz="8" w:space="0" w:color="auto"/>
            </w:tcBorders>
            <w:shd w:val="clear" w:color="000000" w:fill="DAEEF3"/>
            <w:noWrap/>
            <w:vAlign w:val="center"/>
            <w:hideMark/>
          </w:tcPr>
          <w:p w14:paraId="40B31FE4"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$5,435,739</w:t>
            </w:r>
          </w:p>
        </w:tc>
      </w:tr>
      <w:tr w:rsidR="0063268B" w:rsidRPr="0063268B" w14:paraId="75399ECB"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22C36C80"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Henderson</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3E262F5C"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36,566</w:t>
            </w:r>
          </w:p>
        </w:tc>
        <w:tc>
          <w:tcPr>
            <w:tcW w:w="1491" w:type="pct"/>
            <w:tcBorders>
              <w:top w:val="nil"/>
              <w:left w:val="nil"/>
              <w:bottom w:val="single" w:sz="8" w:space="0" w:color="FFFFFF"/>
              <w:right w:val="single" w:sz="8" w:space="0" w:color="auto"/>
            </w:tcBorders>
            <w:shd w:val="clear" w:color="000000" w:fill="A5D5E2"/>
            <w:noWrap/>
            <w:vAlign w:val="center"/>
            <w:hideMark/>
          </w:tcPr>
          <w:p w14:paraId="59F3B37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$1,328,199</w:t>
            </w:r>
          </w:p>
        </w:tc>
      </w:tr>
      <w:tr w:rsidR="0063268B" w:rsidRPr="0063268B" w14:paraId="0B97397F"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3E8DD086"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Jandakot</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61858B68"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44,133</w:t>
            </w:r>
          </w:p>
        </w:tc>
        <w:tc>
          <w:tcPr>
            <w:tcW w:w="1491" w:type="pct"/>
            <w:tcBorders>
              <w:top w:val="nil"/>
              <w:left w:val="nil"/>
              <w:bottom w:val="single" w:sz="8" w:space="0" w:color="FFFFFF"/>
              <w:right w:val="single" w:sz="8" w:space="0" w:color="auto"/>
            </w:tcBorders>
            <w:shd w:val="clear" w:color="000000" w:fill="DAEEF3"/>
            <w:noWrap/>
            <w:vAlign w:val="center"/>
            <w:hideMark/>
          </w:tcPr>
          <w:p w14:paraId="5B41EFBE"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$2,586,835</w:t>
            </w:r>
          </w:p>
        </w:tc>
      </w:tr>
      <w:tr w:rsidR="0063268B" w:rsidRPr="0063268B" w14:paraId="11B28DF4"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43857F13"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Lake Coogee</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7368CFBF"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45,772</w:t>
            </w:r>
          </w:p>
        </w:tc>
        <w:tc>
          <w:tcPr>
            <w:tcW w:w="1491" w:type="pct"/>
            <w:tcBorders>
              <w:top w:val="nil"/>
              <w:left w:val="nil"/>
              <w:bottom w:val="single" w:sz="8" w:space="0" w:color="FFFFFF"/>
              <w:right w:val="single" w:sz="8" w:space="0" w:color="auto"/>
            </w:tcBorders>
            <w:shd w:val="clear" w:color="000000" w:fill="DAEEF3"/>
            <w:noWrap/>
            <w:vAlign w:val="center"/>
            <w:hideMark/>
          </w:tcPr>
          <w:p w14:paraId="16F6B60B"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$2,742,529</w:t>
            </w:r>
          </w:p>
        </w:tc>
      </w:tr>
      <w:tr w:rsidR="0063268B" w:rsidRPr="0063268B" w14:paraId="2935EA2F"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09FC87D6"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Leeming</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37F3C714"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9,002</w:t>
            </w:r>
          </w:p>
        </w:tc>
        <w:tc>
          <w:tcPr>
            <w:tcW w:w="1491" w:type="pct"/>
            <w:tcBorders>
              <w:top w:val="nil"/>
              <w:left w:val="nil"/>
              <w:bottom w:val="single" w:sz="8" w:space="0" w:color="FFFFFF"/>
              <w:right w:val="single" w:sz="8" w:space="0" w:color="auto"/>
            </w:tcBorders>
            <w:shd w:val="clear" w:color="000000" w:fill="A5D5E2"/>
            <w:noWrap/>
            <w:vAlign w:val="center"/>
            <w:hideMark/>
          </w:tcPr>
          <w:p w14:paraId="1E2915CC"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$423,254</w:t>
            </w:r>
          </w:p>
        </w:tc>
      </w:tr>
      <w:tr w:rsidR="0063268B" w:rsidRPr="0063268B" w14:paraId="61044ADE"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1465D3F6"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Munster</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21813167"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772</w:t>
            </w:r>
          </w:p>
        </w:tc>
        <w:tc>
          <w:tcPr>
            <w:tcW w:w="1491" w:type="pct"/>
            <w:tcBorders>
              <w:top w:val="nil"/>
              <w:left w:val="nil"/>
              <w:bottom w:val="single" w:sz="8" w:space="0" w:color="FFFFFF"/>
              <w:right w:val="single" w:sz="8" w:space="0" w:color="auto"/>
            </w:tcBorders>
            <w:shd w:val="clear" w:color="000000" w:fill="DAEEF3"/>
            <w:noWrap/>
            <w:vAlign w:val="center"/>
            <w:hideMark/>
          </w:tcPr>
          <w:p w14:paraId="7450F642"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$50,196</w:t>
            </w:r>
          </w:p>
        </w:tc>
      </w:tr>
      <w:tr w:rsidR="0063268B" w:rsidRPr="0063268B" w14:paraId="3C627F00"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7CB92174"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North Coogee</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6545542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73,830</w:t>
            </w:r>
          </w:p>
        </w:tc>
        <w:tc>
          <w:tcPr>
            <w:tcW w:w="1491" w:type="pct"/>
            <w:tcBorders>
              <w:top w:val="nil"/>
              <w:left w:val="nil"/>
              <w:bottom w:val="single" w:sz="8" w:space="0" w:color="FFFFFF"/>
              <w:right w:val="single" w:sz="8" w:space="0" w:color="auto"/>
            </w:tcBorders>
            <w:shd w:val="clear" w:color="000000" w:fill="A5D5E2"/>
            <w:noWrap/>
            <w:vAlign w:val="center"/>
            <w:hideMark/>
          </w:tcPr>
          <w:p w14:paraId="2FBB3810"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$4,488,713</w:t>
            </w:r>
          </w:p>
        </w:tc>
      </w:tr>
      <w:tr w:rsidR="0063268B" w:rsidRPr="0063268B" w14:paraId="038186A4"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29AEFDE4"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North Lake</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394ED3F8"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22,854</w:t>
            </w:r>
          </w:p>
        </w:tc>
        <w:tc>
          <w:tcPr>
            <w:tcW w:w="1491" w:type="pct"/>
            <w:tcBorders>
              <w:top w:val="nil"/>
              <w:left w:val="nil"/>
              <w:bottom w:val="single" w:sz="8" w:space="0" w:color="FFFFFF"/>
              <w:right w:val="single" w:sz="8" w:space="0" w:color="auto"/>
            </w:tcBorders>
            <w:shd w:val="clear" w:color="000000" w:fill="DAEEF3"/>
            <w:noWrap/>
            <w:vAlign w:val="center"/>
            <w:hideMark/>
          </w:tcPr>
          <w:p w14:paraId="20269727"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$1,404,089</w:t>
            </w:r>
          </w:p>
        </w:tc>
      </w:tr>
      <w:tr w:rsidR="0063268B" w:rsidRPr="0063268B" w14:paraId="3AACB8F7"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1B170265"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South Lake</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5CC394B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61,705</w:t>
            </w:r>
          </w:p>
        </w:tc>
        <w:tc>
          <w:tcPr>
            <w:tcW w:w="1491" w:type="pct"/>
            <w:tcBorders>
              <w:top w:val="nil"/>
              <w:left w:val="nil"/>
              <w:bottom w:val="single" w:sz="8" w:space="0" w:color="FFFFFF"/>
              <w:right w:val="single" w:sz="8" w:space="0" w:color="auto"/>
            </w:tcBorders>
            <w:shd w:val="clear" w:color="000000" w:fill="A5D5E2"/>
            <w:noWrap/>
            <w:vAlign w:val="center"/>
            <w:hideMark/>
          </w:tcPr>
          <w:p w14:paraId="562DEB67"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$3,767,330</w:t>
            </w:r>
          </w:p>
        </w:tc>
      </w:tr>
      <w:tr w:rsidR="0063268B" w:rsidRPr="0063268B" w14:paraId="1E57D5DE"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0F40C0D0"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Spearwood</w:t>
            </w:r>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4231A050"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115,383</w:t>
            </w:r>
          </w:p>
        </w:tc>
        <w:tc>
          <w:tcPr>
            <w:tcW w:w="1491" w:type="pct"/>
            <w:tcBorders>
              <w:top w:val="nil"/>
              <w:left w:val="nil"/>
              <w:bottom w:val="single" w:sz="8" w:space="0" w:color="FFFFFF"/>
              <w:right w:val="single" w:sz="8" w:space="0" w:color="auto"/>
            </w:tcBorders>
            <w:shd w:val="clear" w:color="000000" w:fill="DAEEF3"/>
            <w:noWrap/>
            <w:vAlign w:val="center"/>
            <w:hideMark/>
          </w:tcPr>
          <w:p w14:paraId="04DFF21C"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$7,184,374</w:t>
            </w:r>
          </w:p>
        </w:tc>
      </w:tr>
      <w:tr w:rsidR="0063268B" w:rsidRPr="0063268B" w14:paraId="387672D9"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2AB47A3E"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Success</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68C27922"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130,218</w:t>
            </w:r>
          </w:p>
        </w:tc>
        <w:tc>
          <w:tcPr>
            <w:tcW w:w="1491" w:type="pct"/>
            <w:tcBorders>
              <w:top w:val="nil"/>
              <w:left w:val="nil"/>
              <w:bottom w:val="single" w:sz="8" w:space="0" w:color="FFFFFF"/>
              <w:right w:val="single" w:sz="8" w:space="0" w:color="auto"/>
            </w:tcBorders>
            <w:shd w:val="clear" w:color="000000" w:fill="A5D5E2"/>
            <w:noWrap/>
            <w:vAlign w:val="center"/>
            <w:hideMark/>
          </w:tcPr>
          <w:p w14:paraId="07ADFAAD"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$7,169,508</w:t>
            </w:r>
          </w:p>
        </w:tc>
      </w:tr>
      <w:tr w:rsidR="0063268B" w:rsidRPr="0063268B" w14:paraId="4B4CED0B"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3320CAEC" w14:textId="77777777" w:rsidR="0063268B" w:rsidRPr="002F0DCB" w:rsidRDefault="0063268B" w:rsidP="0063268B">
            <w:pPr>
              <w:spacing w:after="0"/>
              <w:jc w:val="center"/>
              <w:rPr>
                <w:rFonts w:ascii="Arial Narrow" w:hAnsi="Arial Narrow"/>
                <w:b/>
                <w:color w:val="FFFFFF"/>
                <w:sz w:val="22"/>
                <w:szCs w:val="22"/>
                <w:lang w:eastAsia="en-AU"/>
              </w:rPr>
            </w:pPr>
            <w:proofErr w:type="spellStart"/>
            <w:r w:rsidRPr="002F0DCB">
              <w:rPr>
                <w:rFonts w:ascii="Arial Narrow" w:hAnsi="Arial Narrow"/>
                <w:b/>
                <w:color w:val="FFFFFF"/>
                <w:sz w:val="22"/>
                <w:szCs w:val="22"/>
                <w:lang w:eastAsia="en-AU"/>
              </w:rPr>
              <w:t>Treeby</w:t>
            </w:r>
            <w:proofErr w:type="spellEnd"/>
          </w:p>
        </w:tc>
        <w:tc>
          <w:tcPr>
            <w:tcW w:w="1898"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0C157C48"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53,599</w:t>
            </w:r>
          </w:p>
        </w:tc>
        <w:tc>
          <w:tcPr>
            <w:tcW w:w="1491" w:type="pct"/>
            <w:tcBorders>
              <w:top w:val="nil"/>
              <w:left w:val="nil"/>
              <w:bottom w:val="single" w:sz="8" w:space="0" w:color="FFFFFF"/>
              <w:right w:val="single" w:sz="8" w:space="0" w:color="auto"/>
            </w:tcBorders>
            <w:shd w:val="clear" w:color="000000" w:fill="DAEEF3"/>
            <w:noWrap/>
            <w:vAlign w:val="center"/>
            <w:hideMark/>
          </w:tcPr>
          <w:p w14:paraId="2F4D80A4"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$3,483,631</w:t>
            </w:r>
          </w:p>
        </w:tc>
      </w:tr>
      <w:tr w:rsidR="0063268B" w:rsidRPr="0063268B" w14:paraId="5763FB35" w14:textId="77777777" w:rsidTr="00DC3BEB">
        <w:trPr>
          <w:trHeight w:val="600"/>
        </w:trPr>
        <w:tc>
          <w:tcPr>
            <w:tcW w:w="1611" w:type="pct"/>
            <w:tcBorders>
              <w:top w:val="single" w:sz="8" w:space="0" w:color="FFFFFF"/>
              <w:left w:val="single" w:sz="8" w:space="0" w:color="auto"/>
              <w:bottom w:val="single" w:sz="8" w:space="0" w:color="FFFFFF"/>
              <w:right w:val="thinThickSmallGap" w:sz="24" w:space="0" w:color="auto"/>
            </w:tcBorders>
            <w:shd w:val="clear" w:color="000000" w:fill="4BACC6"/>
            <w:noWrap/>
            <w:vAlign w:val="center"/>
            <w:hideMark/>
          </w:tcPr>
          <w:p w14:paraId="612E9430"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Wattleup</w:t>
            </w:r>
          </w:p>
        </w:tc>
        <w:tc>
          <w:tcPr>
            <w:tcW w:w="1898" w:type="pct"/>
            <w:tcBorders>
              <w:top w:val="nil"/>
              <w:left w:val="thinThickSmallGap" w:sz="24" w:space="0" w:color="auto"/>
              <w:bottom w:val="single" w:sz="8" w:space="0" w:color="FFFFFF"/>
              <w:right w:val="single" w:sz="8" w:space="0" w:color="FFFFFF"/>
            </w:tcBorders>
            <w:shd w:val="clear" w:color="000000" w:fill="A5D5E2"/>
            <w:noWrap/>
            <w:vAlign w:val="center"/>
            <w:hideMark/>
          </w:tcPr>
          <w:p w14:paraId="52F7E36E"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8,709</w:t>
            </w:r>
          </w:p>
        </w:tc>
        <w:tc>
          <w:tcPr>
            <w:tcW w:w="1491" w:type="pct"/>
            <w:tcBorders>
              <w:top w:val="nil"/>
              <w:left w:val="nil"/>
              <w:bottom w:val="single" w:sz="8" w:space="0" w:color="FFFFFF"/>
              <w:right w:val="single" w:sz="8" w:space="0" w:color="auto"/>
            </w:tcBorders>
            <w:shd w:val="clear" w:color="000000" w:fill="A5D5E2"/>
            <w:noWrap/>
            <w:vAlign w:val="center"/>
            <w:hideMark/>
          </w:tcPr>
          <w:p w14:paraId="0ADCE5AE"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$566,080</w:t>
            </w:r>
          </w:p>
        </w:tc>
      </w:tr>
      <w:tr w:rsidR="0063268B" w:rsidRPr="0063268B" w14:paraId="3720DFBB" w14:textId="77777777" w:rsidTr="00DC3BEB">
        <w:trPr>
          <w:trHeight w:val="600"/>
        </w:trPr>
        <w:tc>
          <w:tcPr>
            <w:tcW w:w="1611" w:type="pct"/>
            <w:tcBorders>
              <w:top w:val="single" w:sz="8" w:space="0" w:color="FFFFFF"/>
              <w:left w:val="single" w:sz="8" w:space="0" w:color="auto"/>
              <w:bottom w:val="single" w:sz="8" w:space="0" w:color="auto"/>
              <w:right w:val="thinThickSmallGap" w:sz="24" w:space="0" w:color="auto"/>
            </w:tcBorders>
            <w:shd w:val="clear" w:color="000000" w:fill="4BACC6"/>
            <w:noWrap/>
            <w:vAlign w:val="center"/>
            <w:hideMark/>
          </w:tcPr>
          <w:p w14:paraId="31A90688" w14:textId="77777777" w:rsidR="0063268B" w:rsidRPr="002F0DCB" w:rsidRDefault="0063268B" w:rsidP="0063268B">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Yangebup</w:t>
            </w:r>
          </w:p>
        </w:tc>
        <w:tc>
          <w:tcPr>
            <w:tcW w:w="1898" w:type="pct"/>
            <w:tcBorders>
              <w:top w:val="nil"/>
              <w:left w:val="thinThickSmallGap" w:sz="24" w:space="0" w:color="auto"/>
              <w:bottom w:val="single" w:sz="8" w:space="0" w:color="auto"/>
              <w:right w:val="single" w:sz="8" w:space="0" w:color="FFFFFF"/>
            </w:tcBorders>
            <w:shd w:val="clear" w:color="000000" w:fill="DAEEF3"/>
            <w:noWrap/>
            <w:vAlign w:val="center"/>
            <w:hideMark/>
          </w:tcPr>
          <w:p w14:paraId="3C6C66EC"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86,724</w:t>
            </w:r>
          </w:p>
        </w:tc>
        <w:tc>
          <w:tcPr>
            <w:tcW w:w="1491" w:type="pct"/>
            <w:tcBorders>
              <w:top w:val="nil"/>
              <w:left w:val="nil"/>
              <w:bottom w:val="single" w:sz="8" w:space="0" w:color="auto"/>
              <w:right w:val="single" w:sz="8" w:space="0" w:color="auto"/>
            </w:tcBorders>
            <w:shd w:val="clear" w:color="000000" w:fill="DAEEF3"/>
            <w:noWrap/>
            <w:vAlign w:val="center"/>
            <w:hideMark/>
          </w:tcPr>
          <w:p w14:paraId="25B54B92" w14:textId="77777777" w:rsidR="0063268B" w:rsidRPr="0063268B" w:rsidRDefault="0063268B" w:rsidP="0063268B">
            <w:pPr>
              <w:spacing w:after="0"/>
              <w:jc w:val="center"/>
              <w:rPr>
                <w:rFonts w:ascii="Arial Narrow" w:hAnsi="Arial Narrow"/>
                <w:color w:val="000000"/>
                <w:sz w:val="22"/>
                <w:szCs w:val="22"/>
                <w:lang w:eastAsia="en-AU"/>
              </w:rPr>
            </w:pPr>
            <w:r w:rsidRPr="0063268B">
              <w:rPr>
                <w:rFonts w:ascii="Arial Narrow" w:hAnsi="Arial Narrow"/>
                <w:color w:val="000000"/>
                <w:sz w:val="22"/>
                <w:szCs w:val="22"/>
                <w:lang w:eastAsia="en-AU"/>
              </w:rPr>
              <w:t>$4,814,383</w:t>
            </w:r>
          </w:p>
        </w:tc>
      </w:tr>
      <w:tr w:rsidR="0063268B" w:rsidRPr="0063268B" w14:paraId="2224519D" w14:textId="77777777" w:rsidTr="00DC3BEB">
        <w:trPr>
          <w:trHeight w:val="600"/>
        </w:trPr>
        <w:tc>
          <w:tcPr>
            <w:tcW w:w="1611" w:type="pct"/>
            <w:tcBorders>
              <w:top w:val="single" w:sz="8" w:space="0" w:color="auto"/>
              <w:left w:val="single" w:sz="8" w:space="0" w:color="auto"/>
              <w:bottom w:val="single" w:sz="8" w:space="0" w:color="auto"/>
              <w:right w:val="single" w:sz="12" w:space="0" w:color="FFFFFF"/>
            </w:tcBorders>
            <w:shd w:val="clear" w:color="auto" w:fill="auto"/>
            <w:noWrap/>
            <w:vAlign w:val="center"/>
            <w:hideMark/>
          </w:tcPr>
          <w:p w14:paraId="0333CB8D" w14:textId="77777777" w:rsidR="0063268B" w:rsidRPr="00DC3BEB" w:rsidRDefault="0063268B" w:rsidP="0063268B">
            <w:pPr>
              <w:spacing w:after="0"/>
              <w:jc w:val="center"/>
              <w:rPr>
                <w:rFonts w:ascii="Arial Narrow" w:hAnsi="Arial Narrow"/>
                <w:b/>
                <w:bCs/>
                <w:sz w:val="22"/>
                <w:szCs w:val="22"/>
                <w:lang w:eastAsia="en-AU"/>
              </w:rPr>
            </w:pPr>
            <w:r w:rsidRPr="00DC3BEB">
              <w:rPr>
                <w:rFonts w:ascii="Arial Narrow" w:hAnsi="Arial Narrow"/>
                <w:b/>
                <w:bCs/>
                <w:sz w:val="22"/>
                <w:szCs w:val="22"/>
                <w:lang w:eastAsia="en-AU"/>
              </w:rPr>
              <w:t>TOTAL</w:t>
            </w:r>
          </w:p>
        </w:tc>
        <w:tc>
          <w:tcPr>
            <w:tcW w:w="1898" w:type="pct"/>
            <w:tcBorders>
              <w:top w:val="single" w:sz="8" w:space="0" w:color="auto"/>
              <w:left w:val="nil"/>
              <w:bottom w:val="single" w:sz="8" w:space="0" w:color="auto"/>
              <w:right w:val="single" w:sz="8" w:space="0" w:color="FFFFFF"/>
            </w:tcBorders>
            <w:shd w:val="clear" w:color="auto" w:fill="auto"/>
            <w:noWrap/>
            <w:vAlign w:val="center"/>
            <w:hideMark/>
          </w:tcPr>
          <w:p w14:paraId="75147FB1" w14:textId="77777777" w:rsidR="0063268B" w:rsidRPr="00DC3BEB" w:rsidRDefault="0063268B" w:rsidP="0063268B">
            <w:pPr>
              <w:spacing w:after="0"/>
              <w:jc w:val="center"/>
              <w:rPr>
                <w:rFonts w:ascii="Arial Narrow" w:hAnsi="Arial Narrow"/>
                <w:b/>
                <w:bCs/>
                <w:sz w:val="22"/>
                <w:szCs w:val="22"/>
                <w:lang w:eastAsia="en-AU"/>
              </w:rPr>
            </w:pPr>
            <w:r w:rsidRPr="00DC3BEB">
              <w:rPr>
                <w:rFonts w:ascii="Arial Narrow" w:hAnsi="Arial Narrow"/>
                <w:b/>
                <w:bCs/>
                <w:sz w:val="22"/>
                <w:szCs w:val="22"/>
                <w:lang w:eastAsia="en-AU"/>
              </w:rPr>
              <w:t>1,452,754</w:t>
            </w:r>
          </w:p>
        </w:tc>
        <w:tc>
          <w:tcPr>
            <w:tcW w:w="1491" w:type="pct"/>
            <w:tcBorders>
              <w:top w:val="single" w:sz="8" w:space="0" w:color="auto"/>
              <w:left w:val="nil"/>
              <w:bottom w:val="single" w:sz="8" w:space="0" w:color="auto"/>
              <w:right w:val="single" w:sz="8" w:space="0" w:color="auto"/>
            </w:tcBorders>
            <w:shd w:val="clear" w:color="auto" w:fill="auto"/>
            <w:noWrap/>
            <w:vAlign w:val="center"/>
            <w:hideMark/>
          </w:tcPr>
          <w:p w14:paraId="2E738E3C" w14:textId="77777777" w:rsidR="0063268B" w:rsidRPr="00DC3BEB" w:rsidRDefault="0063268B" w:rsidP="0063268B">
            <w:pPr>
              <w:spacing w:after="0"/>
              <w:jc w:val="center"/>
              <w:rPr>
                <w:rFonts w:ascii="Arial Narrow" w:hAnsi="Arial Narrow"/>
                <w:b/>
                <w:bCs/>
                <w:sz w:val="22"/>
                <w:szCs w:val="22"/>
                <w:lang w:eastAsia="en-AU"/>
              </w:rPr>
            </w:pPr>
            <w:r w:rsidRPr="00DC3BEB">
              <w:rPr>
                <w:rFonts w:ascii="Arial Narrow" w:hAnsi="Arial Narrow"/>
                <w:b/>
                <w:bCs/>
                <w:sz w:val="22"/>
                <w:szCs w:val="22"/>
                <w:lang w:eastAsia="en-AU"/>
              </w:rPr>
              <w:t>$85,941,349</w:t>
            </w:r>
          </w:p>
        </w:tc>
      </w:tr>
    </w:tbl>
    <w:p w14:paraId="665BC841" w14:textId="77777777" w:rsidR="00A50EF2" w:rsidRDefault="00FA39D6" w:rsidP="0026613B">
      <w:pPr>
        <w:pStyle w:val="BodyText"/>
        <w:tabs>
          <w:tab w:val="left" w:pos="453"/>
        </w:tabs>
        <w:ind w:right="375"/>
      </w:pPr>
      <w:r>
        <w:tab/>
      </w:r>
    </w:p>
    <w:p w14:paraId="6A1E45BE" w14:textId="77777777" w:rsidR="0091031F" w:rsidRPr="0091031F" w:rsidRDefault="0091031F" w:rsidP="00140CAE">
      <w:pPr>
        <w:pStyle w:val="Heading2"/>
      </w:pPr>
      <w:bookmarkStart w:id="33" w:name="_Toc56419072"/>
      <w:r w:rsidRPr="0091031F">
        <w:lastRenderedPageBreak/>
        <w:t>5</w:t>
      </w:r>
      <w:r w:rsidR="008F6483">
        <w:t>.2</w:t>
      </w:r>
      <w:r w:rsidRPr="0091031F">
        <w:tab/>
        <w:t xml:space="preserve">Maintenance </w:t>
      </w:r>
      <w:r w:rsidR="00676066">
        <w:t>and Operating expenditure</w:t>
      </w:r>
      <w:bookmarkEnd w:id="33"/>
    </w:p>
    <w:p w14:paraId="26668BF3" w14:textId="77777777" w:rsidR="0066725F" w:rsidRPr="00EA0A8F" w:rsidRDefault="0066725F" w:rsidP="0066725F">
      <w:pPr>
        <w:pStyle w:val="BodyText"/>
        <w:spacing w:after="120"/>
        <w:rPr>
          <w:szCs w:val="24"/>
        </w:rPr>
      </w:pPr>
      <w:r w:rsidRPr="00EA0A8F">
        <w:rPr>
          <w:szCs w:val="24"/>
        </w:rPr>
        <w:t>Maintenance work includes reactive or planned maintenance work activities.</w:t>
      </w:r>
    </w:p>
    <w:p w14:paraId="4713C1C4" w14:textId="77777777" w:rsidR="0066725F" w:rsidRPr="00EA0A8F" w:rsidRDefault="0066725F" w:rsidP="0066725F">
      <w:pPr>
        <w:pStyle w:val="BodyText"/>
        <w:spacing w:after="120"/>
        <w:rPr>
          <w:szCs w:val="24"/>
        </w:rPr>
      </w:pPr>
      <w:r w:rsidRPr="00EA0A8F">
        <w:rPr>
          <w:szCs w:val="24"/>
        </w:rPr>
        <w:t>Reactive maintenance is unplanned repair work, carried out in response to service requests, from Management or Supervisory directions.</w:t>
      </w:r>
    </w:p>
    <w:p w14:paraId="5BFD69E6" w14:textId="77777777" w:rsidR="0066725F" w:rsidRPr="00EA0A8F" w:rsidRDefault="0066725F" w:rsidP="0066725F">
      <w:pPr>
        <w:pStyle w:val="BodyText"/>
        <w:spacing w:after="120"/>
        <w:rPr>
          <w:szCs w:val="24"/>
        </w:rPr>
      </w:pPr>
      <w:r w:rsidRPr="00EA0A8F">
        <w:rPr>
          <w:szCs w:val="24"/>
        </w:rPr>
        <w:t>Planned maintenance is work that is identified and managed through a maintenance schedule, these activities include inspection, assessing the condition against failure or breakdown experience, prioritising, scheduling and reporting along with capture of rectification works to develop a maintenance history and improve maintenance and service delivery performance.</w:t>
      </w:r>
    </w:p>
    <w:p w14:paraId="23D47366" w14:textId="77777777" w:rsidR="0066725F" w:rsidRPr="00EA0A8F" w:rsidRDefault="0066725F" w:rsidP="0066725F">
      <w:pPr>
        <w:pStyle w:val="BodyText"/>
        <w:spacing w:after="120"/>
        <w:rPr>
          <w:szCs w:val="24"/>
        </w:rPr>
      </w:pPr>
      <w:r w:rsidRPr="00EA0A8F">
        <w:rPr>
          <w:szCs w:val="24"/>
        </w:rPr>
        <w:t>Operating expenditure is continuously required expenditure e.g. power, fuel, staff, security patrols, plant equipment, on-costs and overheads.</w:t>
      </w:r>
    </w:p>
    <w:p w14:paraId="285BD78A" w14:textId="77777777" w:rsidR="0066725F" w:rsidRPr="0066725F" w:rsidRDefault="0066725F" w:rsidP="0066725F">
      <w:pPr>
        <w:spacing w:after="0"/>
        <w:rPr>
          <w:szCs w:val="24"/>
        </w:rPr>
      </w:pPr>
      <w:r w:rsidRPr="00EA0A8F">
        <w:rPr>
          <w:szCs w:val="24"/>
        </w:rPr>
        <w:t>Maintenance and operating expenditure trends are shown in Table 5.2.</w:t>
      </w:r>
    </w:p>
    <w:p w14:paraId="6668878C" w14:textId="77777777" w:rsidR="00BE23D9" w:rsidRPr="00616E47" w:rsidRDefault="00BE23D9" w:rsidP="00616E47">
      <w:pPr>
        <w:keepNext/>
        <w:rPr>
          <w:b/>
          <w:i/>
          <w:color w:val="4BACC6" w:themeColor="accent5"/>
          <w:szCs w:val="22"/>
        </w:rPr>
      </w:pPr>
    </w:p>
    <w:p w14:paraId="5324EB76" w14:textId="77777777" w:rsidR="0091031F" w:rsidRPr="006F08FA" w:rsidRDefault="0091031F" w:rsidP="00616E47">
      <w:pPr>
        <w:keepNext/>
        <w:rPr>
          <w:b/>
          <w:iCs/>
          <w:color w:val="0070C0"/>
          <w:szCs w:val="22"/>
        </w:rPr>
      </w:pPr>
      <w:r w:rsidRPr="006F08FA">
        <w:rPr>
          <w:b/>
          <w:iCs/>
          <w:color w:val="0070C0"/>
          <w:szCs w:val="22"/>
        </w:rPr>
        <w:t>Table 5.</w:t>
      </w:r>
      <w:r w:rsidR="00E26C57" w:rsidRPr="006F08FA">
        <w:rPr>
          <w:b/>
          <w:iCs/>
          <w:color w:val="0070C0"/>
          <w:szCs w:val="22"/>
        </w:rPr>
        <w:t>2</w:t>
      </w:r>
      <w:r w:rsidRPr="006F08FA">
        <w:rPr>
          <w:b/>
          <w:iCs/>
          <w:color w:val="0070C0"/>
          <w:szCs w:val="22"/>
        </w:rPr>
        <w:tab/>
      </w:r>
      <w:r w:rsidR="00676066" w:rsidRPr="006F08FA">
        <w:rPr>
          <w:b/>
          <w:iCs/>
          <w:color w:val="0070C0"/>
          <w:szCs w:val="22"/>
        </w:rPr>
        <w:t xml:space="preserve">Operating and </w:t>
      </w:r>
      <w:r w:rsidRPr="006F08FA">
        <w:rPr>
          <w:b/>
          <w:iCs/>
          <w:color w:val="0070C0"/>
          <w:szCs w:val="22"/>
        </w:rPr>
        <w:t>Maintenance Expenditure Trends</w:t>
      </w:r>
      <w:r w:rsidR="00951A2E" w:rsidRPr="006F08FA">
        <w:rPr>
          <w:b/>
          <w:iCs/>
          <w:color w:val="0070C0"/>
          <w:szCs w:val="22"/>
        </w:rPr>
        <w:t xml:space="preserve"> </w:t>
      </w:r>
    </w:p>
    <w:p w14:paraId="4A69F365" w14:textId="77777777" w:rsidR="002C355B" w:rsidRPr="006F08FA" w:rsidRDefault="00951A2E" w:rsidP="001C0850">
      <w:pPr>
        <w:keepNext/>
        <w:rPr>
          <w:rFonts w:cs="Arial"/>
          <w:iCs/>
          <w:color w:val="0070C0"/>
          <w:szCs w:val="24"/>
        </w:rPr>
      </w:pPr>
      <w:r w:rsidRPr="006F08FA">
        <w:rPr>
          <w:b/>
          <w:iCs/>
          <w:color w:val="0070C0"/>
          <w:szCs w:val="22"/>
        </w:rPr>
        <w:t>Footpath Maintenance (OP8510)</w:t>
      </w:r>
      <w:r w:rsidR="007908FE" w:rsidRPr="006F08FA">
        <w:rPr>
          <w:b/>
          <w:iCs/>
          <w:color w:val="0070C0"/>
          <w:szCs w:val="22"/>
        </w:rPr>
        <w:t xml:space="preserve"> budget reports</w:t>
      </w:r>
    </w:p>
    <w:tbl>
      <w:tblPr>
        <w:tblW w:w="5000" w:type="pct"/>
        <w:tblLook w:val="04A0" w:firstRow="1" w:lastRow="0" w:firstColumn="1" w:lastColumn="0" w:noHBand="0" w:noVBand="1"/>
      </w:tblPr>
      <w:tblGrid>
        <w:gridCol w:w="929"/>
        <w:gridCol w:w="1455"/>
        <w:gridCol w:w="1455"/>
        <w:gridCol w:w="1457"/>
        <w:gridCol w:w="1457"/>
        <w:gridCol w:w="1457"/>
        <w:gridCol w:w="1453"/>
      </w:tblGrid>
      <w:tr w:rsidR="00D22B15" w:rsidRPr="00D22B15" w14:paraId="1A1EB0E4" w14:textId="77777777" w:rsidTr="001D3BE2">
        <w:trPr>
          <w:trHeight w:val="450"/>
        </w:trPr>
        <w:tc>
          <w:tcPr>
            <w:tcW w:w="480" w:type="pct"/>
            <w:vMerge w:val="restart"/>
            <w:tcBorders>
              <w:top w:val="single" w:sz="8" w:space="0" w:color="auto"/>
              <w:left w:val="single" w:sz="8" w:space="0" w:color="auto"/>
              <w:bottom w:val="single" w:sz="12" w:space="0" w:color="FFFFFF"/>
              <w:right w:val="single" w:sz="12" w:space="0" w:color="FFFFFF"/>
            </w:tcBorders>
            <w:shd w:val="clear" w:color="000000" w:fill="4BACC6"/>
            <w:vAlign w:val="center"/>
            <w:hideMark/>
          </w:tcPr>
          <w:p w14:paraId="5DAB4840"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Year</w:t>
            </w:r>
          </w:p>
        </w:tc>
        <w:tc>
          <w:tcPr>
            <w:tcW w:w="2260" w:type="pct"/>
            <w:gridSpan w:val="3"/>
            <w:tcBorders>
              <w:top w:val="single" w:sz="8" w:space="0" w:color="auto"/>
              <w:left w:val="nil"/>
              <w:bottom w:val="single" w:sz="4" w:space="0" w:color="FFFFFF"/>
              <w:right w:val="single" w:sz="12" w:space="0" w:color="FFFFFF"/>
            </w:tcBorders>
            <w:shd w:val="clear" w:color="000000" w:fill="4BACC6"/>
            <w:noWrap/>
            <w:vAlign w:val="bottom"/>
            <w:hideMark/>
          </w:tcPr>
          <w:p w14:paraId="0EFFA1EF" w14:textId="77777777" w:rsidR="00D22B15" w:rsidRPr="002F0DCB" w:rsidRDefault="00D22B15" w:rsidP="00D22B15">
            <w:pPr>
              <w:spacing w:after="0"/>
              <w:jc w:val="center"/>
              <w:rPr>
                <w:rFonts w:ascii="Arial Narrow" w:hAnsi="Arial Narrow"/>
                <w:b/>
                <w:color w:val="FFFFFF"/>
                <w:sz w:val="22"/>
                <w:szCs w:val="22"/>
                <w:lang w:eastAsia="en-AU"/>
              </w:rPr>
            </w:pPr>
            <w:r w:rsidRPr="002F0DCB">
              <w:rPr>
                <w:rFonts w:ascii="Arial Narrow" w:hAnsi="Arial Narrow"/>
                <w:b/>
                <w:color w:val="FFFFFF"/>
                <w:sz w:val="22"/>
                <w:szCs w:val="22"/>
                <w:lang w:eastAsia="en-AU"/>
              </w:rPr>
              <w:t>Maintenance Expenditure</w:t>
            </w:r>
          </w:p>
        </w:tc>
        <w:tc>
          <w:tcPr>
            <w:tcW w:w="754" w:type="pct"/>
            <w:vMerge w:val="restart"/>
            <w:tcBorders>
              <w:top w:val="single" w:sz="8" w:space="0" w:color="auto"/>
              <w:left w:val="single" w:sz="12" w:space="0" w:color="FFFFFF"/>
              <w:bottom w:val="single" w:sz="12" w:space="0" w:color="FFFFFF"/>
              <w:right w:val="single" w:sz="12" w:space="0" w:color="FFFFFF"/>
            </w:tcBorders>
            <w:shd w:val="clear" w:color="000000" w:fill="4BACC6"/>
            <w:vAlign w:val="center"/>
            <w:hideMark/>
          </w:tcPr>
          <w:p w14:paraId="7FF409C3"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Operating Expenditure</w:t>
            </w:r>
          </w:p>
        </w:tc>
        <w:tc>
          <w:tcPr>
            <w:tcW w:w="754" w:type="pct"/>
            <w:vMerge w:val="restart"/>
            <w:tcBorders>
              <w:top w:val="single" w:sz="8" w:space="0" w:color="auto"/>
              <w:left w:val="single" w:sz="12" w:space="0" w:color="FFFFFF"/>
              <w:bottom w:val="single" w:sz="12" w:space="0" w:color="FFFFFF"/>
              <w:right w:val="single" w:sz="12" w:space="0" w:color="FFFFFF"/>
            </w:tcBorders>
            <w:shd w:val="clear" w:color="000000" w:fill="4BACC6"/>
            <w:vAlign w:val="center"/>
            <w:hideMark/>
          </w:tcPr>
          <w:p w14:paraId="50278A08"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Budget</w:t>
            </w:r>
          </w:p>
        </w:tc>
        <w:tc>
          <w:tcPr>
            <w:tcW w:w="752" w:type="pct"/>
            <w:vMerge w:val="restart"/>
            <w:tcBorders>
              <w:top w:val="single" w:sz="8" w:space="0" w:color="auto"/>
              <w:left w:val="single" w:sz="12" w:space="0" w:color="FFFFFF"/>
              <w:bottom w:val="single" w:sz="12" w:space="0" w:color="FFFFFF"/>
              <w:right w:val="single" w:sz="8" w:space="0" w:color="auto"/>
            </w:tcBorders>
            <w:shd w:val="clear" w:color="000000" w:fill="4BACC6"/>
            <w:vAlign w:val="center"/>
            <w:hideMark/>
          </w:tcPr>
          <w:p w14:paraId="17E7290E"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Total expenditure</w:t>
            </w:r>
          </w:p>
        </w:tc>
      </w:tr>
      <w:tr w:rsidR="00D22B15" w:rsidRPr="00D22B15" w14:paraId="1796B32E" w14:textId="77777777" w:rsidTr="001D3BE2">
        <w:trPr>
          <w:trHeight w:val="375"/>
        </w:trPr>
        <w:tc>
          <w:tcPr>
            <w:tcW w:w="480" w:type="pct"/>
            <w:vMerge/>
            <w:tcBorders>
              <w:top w:val="single" w:sz="12" w:space="0" w:color="FFFFFF"/>
              <w:left w:val="single" w:sz="8" w:space="0" w:color="auto"/>
              <w:bottom w:val="single" w:sz="12" w:space="0" w:color="FFFFFF"/>
              <w:right w:val="single" w:sz="12" w:space="0" w:color="FFFFFF"/>
            </w:tcBorders>
            <w:vAlign w:val="center"/>
            <w:hideMark/>
          </w:tcPr>
          <w:p w14:paraId="2674D426" w14:textId="77777777" w:rsidR="00D22B15" w:rsidRPr="002F0DCB" w:rsidRDefault="00D22B15" w:rsidP="00D22B15">
            <w:pPr>
              <w:spacing w:after="0"/>
              <w:jc w:val="left"/>
              <w:rPr>
                <w:rFonts w:ascii="Arial Narrow" w:hAnsi="Arial Narrow"/>
                <w:b/>
                <w:color w:val="FFFFFF"/>
                <w:szCs w:val="24"/>
                <w:lang w:eastAsia="en-AU"/>
              </w:rPr>
            </w:pPr>
          </w:p>
        </w:tc>
        <w:tc>
          <w:tcPr>
            <w:tcW w:w="753" w:type="pct"/>
            <w:tcBorders>
              <w:top w:val="nil"/>
              <w:left w:val="nil"/>
              <w:bottom w:val="single" w:sz="12" w:space="0" w:color="FFFFFF"/>
              <w:right w:val="single" w:sz="12" w:space="0" w:color="FFFFFF"/>
            </w:tcBorders>
            <w:shd w:val="clear" w:color="000000" w:fill="4BACC6"/>
            <w:vAlign w:val="center"/>
            <w:hideMark/>
          </w:tcPr>
          <w:p w14:paraId="6AFB8DEB"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Planned</w:t>
            </w:r>
          </w:p>
        </w:tc>
        <w:tc>
          <w:tcPr>
            <w:tcW w:w="753" w:type="pct"/>
            <w:tcBorders>
              <w:top w:val="nil"/>
              <w:left w:val="nil"/>
              <w:bottom w:val="single" w:sz="12" w:space="0" w:color="FFFFFF"/>
              <w:right w:val="single" w:sz="12" w:space="0" w:color="FFFFFF"/>
            </w:tcBorders>
            <w:shd w:val="clear" w:color="000000" w:fill="4BACC6"/>
            <w:vAlign w:val="center"/>
            <w:hideMark/>
          </w:tcPr>
          <w:p w14:paraId="4F806196"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Reactive</w:t>
            </w:r>
          </w:p>
        </w:tc>
        <w:tc>
          <w:tcPr>
            <w:tcW w:w="753" w:type="pct"/>
            <w:tcBorders>
              <w:top w:val="nil"/>
              <w:left w:val="nil"/>
              <w:bottom w:val="single" w:sz="12" w:space="0" w:color="FFFFFF"/>
              <w:right w:val="single" w:sz="12" w:space="0" w:color="FFFFFF"/>
            </w:tcBorders>
            <w:shd w:val="clear" w:color="000000" w:fill="4BACC6"/>
            <w:vAlign w:val="center"/>
            <w:hideMark/>
          </w:tcPr>
          <w:p w14:paraId="0B2CA305"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Reactive %</w:t>
            </w:r>
          </w:p>
        </w:tc>
        <w:tc>
          <w:tcPr>
            <w:tcW w:w="754" w:type="pct"/>
            <w:vMerge/>
            <w:tcBorders>
              <w:top w:val="single" w:sz="12" w:space="0" w:color="FFFFFF"/>
              <w:left w:val="single" w:sz="12" w:space="0" w:color="FFFFFF"/>
              <w:bottom w:val="single" w:sz="12" w:space="0" w:color="FFFFFF"/>
              <w:right w:val="single" w:sz="12" w:space="0" w:color="FFFFFF"/>
            </w:tcBorders>
            <w:vAlign w:val="center"/>
            <w:hideMark/>
          </w:tcPr>
          <w:p w14:paraId="4A769D08" w14:textId="77777777" w:rsidR="00D22B15" w:rsidRPr="002F0DCB" w:rsidRDefault="00D22B15" w:rsidP="00D22B15">
            <w:pPr>
              <w:spacing w:after="0"/>
              <w:jc w:val="left"/>
              <w:rPr>
                <w:rFonts w:ascii="Arial Narrow" w:hAnsi="Arial Narrow"/>
                <w:b/>
                <w:color w:val="FFFFFF"/>
                <w:szCs w:val="24"/>
                <w:lang w:eastAsia="en-AU"/>
              </w:rPr>
            </w:pPr>
          </w:p>
        </w:tc>
        <w:tc>
          <w:tcPr>
            <w:tcW w:w="754" w:type="pct"/>
            <w:vMerge/>
            <w:tcBorders>
              <w:top w:val="single" w:sz="12" w:space="0" w:color="FFFFFF"/>
              <w:left w:val="single" w:sz="12" w:space="0" w:color="FFFFFF"/>
              <w:bottom w:val="single" w:sz="12" w:space="0" w:color="FFFFFF"/>
              <w:right w:val="single" w:sz="12" w:space="0" w:color="FFFFFF"/>
            </w:tcBorders>
            <w:vAlign w:val="center"/>
            <w:hideMark/>
          </w:tcPr>
          <w:p w14:paraId="437307CF" w14:textId="77777777" w:rsidR="00D22B15" w:rsidRPr="002F0DCB" w:rsidRDefault="00D22B15" w:rsidP="00D22B15">
            <w:pPr>
              <w:spacing w:after="0"/>
              <w:jc w:val="left"/>
              <w:rPr>
                <w:rFonts w:ascii="Arial Narrow" w:hAnsi="Arial Narrow"/>
                <w:b/>
                <w:color w:val="FFFFFF"/>
                <w:szCs w:val="24"/>
                <w:lang w:eastAsia="en-AU"/>
              </w:rPr>
            </w:pPr>
          </w:p>
        </w:tc>
        <w:tc>
          <w:tcPr>
            <w:tcW w:w="752" w:type="pct"/>
            <w:vMerge/>
            <w:tcBorders>
              <w:top w:val="single" w:sz="12" w:space="0" w:color="FFFFFF"/>
              <w:left w:val="single" w:sz="12" w:space="0" w:color="FFFFFF"/>
              <w:bottom w:val="single" w:sz="12" w:space="0" w:color="FFFFFF"/>
              <w:right w:val="single" w:sz="8" w:space="0" w:color="auto"/>
            </w:tcBorders>
            <w:vAlign w:val="center"/>
            <w:hideMark/>
          </w:tcPr>
          <w:p w14:paraId="2EFF6A1D" w14:textId="77777777" w:rsidR="00D22B15" w:rsidRPr="002F0DCB" w:rsidRDefault="00D22B15" w:rsidP="00D22B15">
            <w:pPr>
              <w:spacing w:after="0"/>
              <w:jc w:val="left"/>
              <w:rPr>
                <w:rFonts w:ascii="Arial Narrow" w:hAnsi="Arial Narrow"/>
                <w:b/>
                <w:color w:val="FFFFFF"/>
                <w:szCs w:val="24"/>
                <w:lang w:eastAsia="en-AU"/>
              </w:rPr>
            </w:pPr>
          </w:p>
        </w:tc>
      </w:tr>
      <w:tr w:rsidR="00D22B15" w:rsidRPr="00D22B15" w14:paraId="3EE12850" w14:textId="77777777" w:rsidTr="001D3BE2">
        <w:trPr>
          <w:trHeight w:val="499"/>
        </w:trPr>
        <w:tc>
          <w:tcPr>
            <w:tcW w:w="480" w:type="pct"/>
            <w:tcBorders>
              <w:top w:val="nil"/>
              <w:left w:val="single" w:sz="8" w:space="0" w:color="auto"/>
              <w:bottom w:val="nil"/>
              <w:right w:val="nil"/>
            </w:tcBorders>
            <w:shd w:val="clear" w:color="000000" w:fill="4BACC6"/>
            <w:vAlign w:val="center"/>
            <w:hideMark/>
          </w:tcPr>
          <w:p w14:paraId="0B649A9F"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2010/11</w:t>
            </w:r>
          </w:p>
        </w:tc>
        <w:tc>
          <w:tcPr>
            <w:tcW w:w="753" w:type="pct"/>
            <w:tcBorders>
              <w:top w:val="nil"/>
              <w:left w:val="single" w:sz="12" w:space="0" w:color="FFFFFF"/>
              <w:bottom w:val="single" w:sz="12" w:space="0" w:color="FFFFFF"/>
              <w:right w:val="single" w:sz="12" w:space="0" w:color="FFFFFF"/>
            </w:tcBorders>
            <w:shd w:val="clear" w:color="000000" w:fill="92CDDC"/>
            <w:vAlign w:val="center"/>
            <w:hideMark/>
          </w:tcPr>
          <w:p w14:paraId="2D8C6E00"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$229,731</w:t>
            </w:r>
          </w:p>
        </w:tc>
        <w:tc>
          <w:tcPr>
            <w:tcW w:w="753" w:type="pct"/>
            <w:tcBorders>
              <w:top w:val="nil"/>
              <w:left w:val="nil"/>
              <w:bottom w:val="single" w:sz="12" w:space="0" w:color="FFFFFF"/>
              <w:right w:val="single" w:sz="12" w:space="0" w:color="FFFFFF"/>
            </w:tcBorders>
            <w:shd w:val="clear" w:color="000000" w:fill="92CDDC"/>
            <w:vAlign w:val="center"/>
            <w:hideMark/>
          </w:tcPr>
          <w:p w14:paraId="7F64BE3A"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$56,473</w:t>
            </w:r>
          </w:p>
        </w:tc>
        <w:tc>
          <w:tcPr>
            <w:tcW w:w="753" w:type="pct"/>
            <w:tcBorders>
              <w:top w:val="nil"/>
              <w:left w:val="nil"/>
              <w:bottom w:val="single" w:sz="12" w:space="0" w:color="FFFFFF"/>
              <w:right w:val="single" w:sz="12" w:space="0" w:color="FFFFFF"/>
            </w:tcBorders>
            <w:shd w:val="clear" w:color="000000" w:fill="92CDDC"/>
            <w:vAlign w:val="center"/>
            <w:hideMark/>
          </w:tcPr>
          <w:p w14:paraId="56E2BB2B"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19.7%</w:t>
            </w:r>
          </w:p>
        </w:tc>
        <w:tc>
          <w:tcPr>
            <w:tcW w:w="754" w:type="pct"/>
            <w:tcBorders>
              <w:top w:val="nil"/>
              <w:left w:val="nil"/>
              <w:bottom w:val="single" w:sz="12" w:space="0" w:color="FFFFFF"/>
              <w:right w:val="single" w:sz="12" w:space="0" w:color="FFFFFF"/>
            </w:tcBorders>
            <w:shd w:val="clear" w:color="000000" w:fill="92CDDC"/>
            <w:vAlign w:val="center"/>
            <w:hideMark/>
          </w:tcPr>
          <w:p w14:paraId="53334373"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$375,701</w:t>
            </w:r>
          </w:p>
        </w:tc>
        <w:tc>
          <w:tcPr>
            <w:tcW w:w="754" w:type="pct"/>
            <w:tcBorders>
              <w:top w:val="nil"/>
              <w:left w:val="nil"/>
              <w:bottom w:val="single" w:sz="12" w:space="0" w:color="FFFFFF"/>
              <w:right w:val="nil"/>
            </w:tcBorders>
            <w:shd w:val="clear" w:color="000000" w:fill="92CDDC"/>
            <w:vAlign w:val="center"/>
            <w:hideMark/>
          </w:tcPr>
          <w:p w14:paraId="70AF8304"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$618,000</w:t>
            </w:r>
          </w:p>
        </w:tc>
        <w:tc>
          <w:tcPr>
            <w:tcW w:w="752" w:type="pct"/>
            <w:tcBorders>
              <w:top w:val="nil"/>
              <w:left w:val="single" w:sz="12" w:space="0" w:color="FFFFFF"/>
              <w:bottom w:val="single" w:sz="12" w:space="0" w:color="FFFFFF"/>
              <w:right w:val="single" w:sz="8" w:space="0" w:color="auto"/>
            </w:tcBorders>
            <w:shd w:val="clear" w:color="000000" w:fill="92CDDC"/>
            <w:vAlign w:val="center"/>
            <w:hideMark/>
          </w:tcPr>
          <w:p w14:paraId="18423468"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$661,905</w:t>
            </w:r>
          </w:p>
        </w:tc>
      </w:tr>
      <w:tr w:rsidR="00D22B15" w:rsidRPr="00D22B15" w14:paraId="69D6AC46"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5ED4572F"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2011/12</w:t>
            </w:r>
          </w:p>
        </w:tc>
        <w:tc>
          <w:tcPr>
            <w:tcW w:w="753" w:type="pct"/>
            <w:tcBorders>
              <w:top w:val="nil"/>
              <w:left w:val="single" w:sz="12" w:space="0" w:color="FFFFFF"/>
              <w:bottom w:val="single" w:sz="12" w:space="0" w:color="FFFFFF"/>
              <w:right w:val="single" w:sz="12" w:space="0" w:color="FFFFFF"/>
            </w:tcBorders>
            <w:shd w:val="clear" w:color="000000" w:fill="DAEEF3"/>
            <w:vAlign w:val="center"/>
            <w:hideMark/>
          </w:tcPr>
          <w:p w14:paraId="132182EA"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$196,538</w:t>
            </w:r>
          </w:p>
        </w:tc>
        <w:tc>
          <w:tcPr>
            <w:tcW w:w="753" w:type="pct"/>
            <w:tcBorders>
              <w:top w:val="nil"/>
              <w:left w:val="nil"/>
              <w:bottom w:val="single" w:sz="12" w:space="0" w:color="FFFFFF"/>
              <w:right w:val="single" w:sz="12" w:space="0" w:color="FFFFFF"/>
            </w:tcBorders>
            <w:shd w:val="clear" w:color="000000" w:fill="DAEEF3"/>
            <w:vAlign w:val="center"/>
            <w:hideMark/>
          </w:tcPr>
          <w:p w14:paraId="07A80083"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$124,565</w:t>
            </w:r>
          </w:p>
        </w:tc>
        <w:tc>
          <w:tcPr>
            <w:tcW w:w="753" w:type="pct"/>
            <w:tcBorders>
              <w:top w:val="nil"/>
              <w:left w:val="nil"/>
              <w:bottom w:val="single" w:sz="12" w:space="0" w:color="FFFFFF"/>
              <w:right w:val="single" w:sz="12" w:space="0" w:color="FFFFFF"/>
            </w:tcBorders>
            <w:shd w:val="clear" w:color="000000" w:fill="DAEEF3"/>
            <w:vAlign w:val="center"/>
            <w:hideMark/>
          </w:tcPr>
          <w:p w14:paraId="5328493A"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38.8%</w:t>
            </w:r>
          </w:p>
        </w:tc>
        <w:tc>
          <w:tcPr>
            <w:tcW w:w="754" w:type="pct"/>
            <w:tcBorders>
              <w:top w:val="nil"/>
              <w:left w:val="nil"/>
              <w:bottom w:val="single" w:sz="12" w:space="0" w:color="FFFFFF"/>
              <w:right w:val="single" w:sz="12" w:space="0" w:color="FFFFFF"/>
            </w:tcBorders>
            <w:shd w:val="clear" w:color="000000" w:fill="DAEEF3"/>
            <w:vAlign w:val="center"/>
            <w:hideMark/>
          </w:tcPr>
          <w:p w14:paraId="4B8E1348"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$245,208</w:t>
            </w:r>
          </w:p>
        </w:tc>
        <w:tc>
          <w:tcPr>
            <w:tcW w:w="754" w:type="pct"/>
            <w:tcBorders>
              <w:top w:val="nil"/>
              <w:left w:val="nil"/>
              <w:bottom w:val="single" w:sz="12" w:space="0" w:color="FFFFFF"/>
              <w:right w:val="nil"/>
            </w:tcBorders>
            <w:shd w:val="clear" w:color="000000" w:fill="DAEEF3"/>
            <w:vAlign w:val="center"/>
            <w:hideMark/>
          </w:tcPr>
          <w:p w14:paraId="24868980"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$655,440</w:t>
            </w:r>
          </w:p>
        </w:tc>
        <w:tc>
          <w:tcPr>
            <w:tcW w:w="752" w:type="pct"/>
            <w:tcBorders>
              <w:top w:val="nil"/>
              <w:left w:val="single" w:sz="12" w:space="0" w:color="FFFFFF"/>
              <w:bottom w:val="nil"/>
              <w:right w:val="single" w:sz="8" w:space="0" w:color="auto"/>
            </w:tcBorders>
            <w:shd w:val="clear" w:color="000000" w:fill="DAEEF3"/>
            <w:vAlign w:val="center"/>
            <w:hideMark/>
          </w:tcPr>
          <w:p w14:paraId="5855ACE5"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$566,311</w:t>
            </w:r>
          </w:p>
        </w:tc>
      </w:tr>
      <w:tr w:rsidR="00D22B15" w:rsidRPr="00D22B15" w14:paraId="168DA936"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6B9BE686"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2012/13</w:t>
            </w:r>
          </w:p>
        </w:tc>
        <w:tc>
          <w:tcPr>
            <w:tcW w:w="753" w:type="pct"/>
            <w:tcBorders>
              <w:top w:val="nil"/>
              <w:left w:val="single" w:sz="12" w:space="0" w:color="FFFFFF"/>
              <w:bottom w:val="single" w:sz="12" w:space="0" w:color="FFFFFF"/>
              <w:right w:val="single" w:sz="12" w:space="0" w:color="FFFFFF"/>
            </w:tcBorders>
            <w:shd w:val="clear" w:color="000000" w:fill="92CDDC"/>
            <w:vAlign w:val="center"/>
            <w:hideMark/>
          </w:tcPr>
          <w:p w14:paraId="56E78E80"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$307,193</w:t>
            </w:r>
          </w:p>
        </w:tc>
        <w:tc>
          <w:tcPr>
            <w:tcW w:w="753" w:type="pct"/>
            <w:tcBorders>
              <w:top w:val="nil"/>
              <w:left w:val="nil"/>
              <w:bottom w:val="single" w:sz="12" w:space="0" w:color="FFFFFF"/>
              <w:right w:val="single" w:sz="12" w:space="0" w:color="FFFFFF"/>
            </w:tcBorders>
            <w:shd w:val="clear" w:color="000000" w:fill="92CDDC"/>
            <w:vAlign w:val="center"/>
            <w:hideMark/>
          </w:tcPr>
          <w:p w14:paraId="0C52AD07"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$114,294</w:t>
            </w:r>
          </w:p>
        </w:tc>
        <w:tc>
          <w:tcPr>
            <w:tcW w:w="753" w:type="pct"/>
            <w:tcBorders>
              <w:top w:val="nil"/>
              <w:left w:val="nil"/>
              <w:bottom w:val="single" w:sz="12" w:space="0" w:color="FFFFFF"/>
              <w:right w:val="single" w:sz="12" w:space="0" w:color="FFFFFF"/>
            </w:tcBorders>
            <w:shd w:val="clear" w:color="000000" w:fill="92CDDC"/>
            <w:vAlign w:val="center"/>
            <w:hideMark/>
          </w:tcPr>
          <w:p w14:paraId="5AC4A7EE"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27.1%</w:t>
            </w:r>
          </w:p>
        </w:tc>
        <w:tc>
          <w:tcPr>
            <w:tcW w:w="754" w:type="pct"/>
            <w:tcBorders>
              <w:top w:val="nil"/>
              <w:left w:val="nil"/>
              <w:bottom w:val="single" w:sz="12" w:space="0" w:color="FFFFFF"/>
              <w:right w:val="single" w:sz="12" w:space="0" w:color="FFFFFF"/>
            </w:tcBorders>
            <w:shd w:val="clear" w:color="000000" w:fill="92CDDC"/>
            <w:vAlign w:val="center"/>
            <w:hideMark/>
          </w:tcPr>
          <w:p w14:paraId="456B2CC1"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$300,175</w:t>
            </w:r>
          </w:p>
        </w:tc>
        <w:tc>
          <w:tcPr>
            <w:tcW w:w="754" w:type="pct"/>
            <w:tcBorders>
              <w:top w:val="nil"/>
              <w:left w:val="nil"/>
              <w:bottom w:val="single" w:sz="12" w:space="0" w:color="FFFFFF"/>
              <w:right w:val="nil"/>
            </w:tcBorders>
            <w:shd w:val="clear" w:color="000000" w:fill="92CDDC"/>
            <w:vAlign w:val="center"/>
            <w:hideMark/>
          </w:tcPr>
          <w:p w14:paraId="3BA0B30B"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$642,427</w:t>
            </w:r>
          </w:p>
        </w:tc>
        <w:tc>
          <w:tcPr>
            <w:tcW w:w="752" w:type="pct"/>
            <w:tcBorders>
              <w:top w:val="single" w:sz="12" w:space="0" w:color="FFFFFF"/>
              <w:left w:val="single" w:sz="12" w:space="0" w:color="FFFFFF"/>
              <w:bottom w:val="single" w:sz="12" w:space="0" w:color="FFFFFF"/>
              <w:right w:val="single" w:sz="8" w:space="0" w:color="auto"/>
            </w:tcBorders>
            <w:shd w:val="clear" w:color="000000" w:fill="92CDDC"/>
            <w:vAlign w:val="center"/>
            <w:hideMark/>
          </w:tcPr>
          <w:p w14:paraId="1F01790D"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$721,662</w:t>
            </w:r>
          </w:p>
        </w:tc>
      </w:tr>
      <w:tr w:rsidR="00D22B15" w:rsidRPr="00D22B15" w14:paraId="0C441B11"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53A14D04"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2013/14</w:t>
            </w:r>
          </w:p>
        </w:tc>
        <w:tc>
          <w:tcPr>
            <w:tcW w:w="753" w:type="pct"/>
            <w:tcBorders>
              <w:top w:val="nil"/>
              <w:left w:val="single" w:sz="12" w:space="0" w:color="FFFFFF"/>
              <w:bottom w:val="single" w:sz="12" w:space="0" w:color="FFFFFF"/>
              <w:right w:val="single" w:sz="12" w:space="0" w:color="FFFFFF"/>
            </w:tcBorders>
            <w:shd w:val="clear" w:color="000000" w:fill="DAEEF3"/>
            <w:vAlign w:val="center"/>
            <w:hideMark/>
          </w:tcPr>
          <w:p w14:paraId="6E146878"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$343,369</w:t>
            </w:r>
          </w:p>
        </w:tc>
        <w:tc>
          <w:tcPr>
            <w:tcW w:w="753" w:type="pct"/>
            <w:tcBorders>
              <w:top w:val="nil"/>
              <w:left w:val="nil"/>
              <w:bottom w:val="single" w:sz="12" w:space="0" w:color="FFFFFF"/>
              <w:right w:val="single" w:sz="12" w:space="0" w:color="FFFFFF"/>
            </w:tcBorders>
            <w:shd w:val="clear" w:color="000000" w:fill="DAEEF3"/>
            <w:vAlign w:val="center"/>
            <w:hideMark/>
          </w:tcPr>
          <w:p w14:paraId="1FF8B184"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$123,796</w:t>
            </w:r>
          </w:p>
        </w:tc>
        <w:tc>
          <w:tcPr>
            <w:tcW w:w="753" w:type="pct"/>
            <w:tcBorders>
              <w:top w:val="nil"/>
              <w:left w:val="nil"/>
              <w:bottom w:val="single" w:sz="12" w:space="0" w:color="FFFFFF"/>
              <w:right w:val="single" w:sz="12" w:space="0" w:color="FFFFFF"/>
            </w:tcBorders>
            <w:shd w:val="clear" w:color="000000" w:fill="DAEEF3"/>
            <w:vAlign w:val="center"/>
            <w:hideMark/>
          </w:tcPr>
          <w:p w14:paraId="22BEDA6A"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26.5%</w:t>
            </w:r>
          </w:p>
        </w:tc>
        <w:tc>
          <w:tcPr>
            <w:tcW w:w="754" w:type="pct"/>
            <w:tcBorders>
              <w:top w:val="nil"/>
              <w:left w:val="nil"/>
              <w:bottom w:val="single" w:sz="12" w:space="0" w:color="FFFFFF"/>
              <w:right w:val="single" w:sz="12" w:space="0" w:color="FFFFFF"/>
            </w:tcBorders>
            <w:shd w:val="clear" w:color="000000" w:fill="DAEEF3"/>
            <w:vAlign w:val="center"/>
            <w:hideMark/>
          </w:tcPr>
          <w:p w14:paraId="0ECDD699"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$348,050</w:t>
            </w:r>
          </w:p>
        </w:tc>
        <w:tc>
          <w:tcPr>
            <w:tcW w:w="754" w:type="pct"/>
            <w:tcBorders>
              <w:top w:val="nil"/>
              <w:left w:val="nil"/>
              <w:bottom w:val="single" w:sz="12" w:space="0" w:color="FFFFFF"/>
              <w:right w:val="nil"/>
            </w:tcBorders>
            <w:shd w:val="clear" w:color="000000" w:fill="DAEEF3"/>
            <w:vAlign w:val="center"/>
            <w:hideMark/>
          </w:tcPr>
          <w:p w14:paraId="09AE6701"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$860,697</w:t>
            </w:r>
          </w:p>
        </w:tc>
        <w:tc>
          <w:tcPr>
            <w:tcW w:w="752" w:type="pct"/>
            <w:tcBorders>
              <w:top w:val="nil"/>
              <w:left w:val="single" w:sz="12" w:space="0" w:color="FFFFFF"/>
              <w:bottom w:val="nil"/>
              <w:right w:val="single" w:sz="8" w:space="0" w:color="auto"/>
            </w:tcBorders>
            <w:shd w:val="clear" w:color="000000" w:fill="DAEEF3"/>
            <w:vAlign w:val="center"/>
            <w:hideMark/>
          </w:tcPr>
          <w:p w14:paraId="02B2466B"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$815,215</w:t>
            </w:r>
          </w:p>
        </w:tc>
      </w:tr>
      <w:tr w:rsidR="00D22B15" w:rsidRPr="00D22B15" w14:paraId="2ECA93B8"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2BCF0464"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2014/15</w:t>
            </w:r>
          </w:p>
        </w:tc>
        <w:tc>
          <w:tcPr>
            <w:tcW w:w="753" w:type="pct"/>
            <w:tcBorders>
              <w:top w:val="nil"/>
              <w:left w:val="single" w:sz="12" w:space="0" w:color="FFFFFF"/>
              <w:bottom w:val="single" w:sz="12" w:space="0" w:color="FFFFFF"/>
              <w:right w:val="single" w:sz="12" w:space="0" w:color="FFFFFF"/>
            </w:tcBorders>
            <w:shd w:val="clear" w:color="000000" w:fill="92CDDC"/>
            <w:vAlign w:val="center"/>
            <w:hideMark/>
          </w:tcPr>
          <w:p w14:paraId="3FE8370D"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$494,834</w:t>
            </w:r>
          </w:p>
        </w:tc>
        <w:tc>
          <w:tcPr>
            <w:tcW w:w="753" w:type="pct"/>
            <w:tcBorders>
              <w:top w:val="nil"/>
              <w:left w:val="nil"/>
              <w:bottom w:val="single" w:sz="12" w:space="0" w:color="FFFFFF"/>
              <w:right w:val="single" w:sz="12" w:space="0" w:color="FFFFFF"/>
            </w:tcBorders>
            <w:shd w:val="clear" w:color="000000" w:fill="92CDDC"/>
            <w:vAlign w:val="center"/>
            <w:hideMark/>
          </w:tcPr>
          <w:p w14:paraId="4A94CA4C"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$202,790</w:t>
            </w:r>
          </w:p>
        </w:tc>
        <w:tc>
          <w:tcPr>
            <w:tcW w:w="753" w:type="pct"/>
            <w:tcBorders>
              <w:top w:val="nil"/>
              <w:left w:val="nil"/>
              <w:bottom w:val="single" w:sz="12" w:space="0" w:color="FFFFFF"/>
              <w:right w:val="single" w:sz="12" w:space="0" w:color="FFFFFF"/>
            </w:tcBorders>
            <w:shd w:val="clear" w:color="000000" w:fill="92CDDC"/>
            <w:vAlign w:val="center"/>
            <w:hideMark/>
          </w:tcPr>
          <w:p w14:paraId="49219C3A"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29.1%</w:t>
            </w:r>
          </w:p>
        </w:tc>
        <w:tc>
          <w:tcPr>
            <w:tcW w:w="754" w:type="pct"/>
            <w:tcBorders>
              <w:top w:val="nil"/>
              <w:left w:val="nil"/>
              <w:bottom w:val="single" w:sz="12" w:space="0" w:color="FFFFFF"/>
              <w:right w:val="single" w:sz="12" w:space="0" w:color="FFFFFF"/>
            </w:tcBorders>
            <w:shd w:val="clear" w:color="000000" w:fill="92CDDC"/>
            <w:vAlign w:val="center"/>
            <w:hideMark/>
          </w:tcPr>
          <w:p w14:paraId="29733603"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$340,131</w:t>
            </w:r>
          </w:p>
        </w:tc>
        <w:tc>
          <w:tcPr>
            <w:tcW w:w="754" w:type="pct"/>
            <w:tcBorders>
              <w:top w:val="nil"/>
              <w:left w:val="nil"/>
              <w:bottom w:val="single" w:sz="12" w:space="0" w:color="FFFFFF"/>
              <w:right w:val="nil"/>
            </w:tcBorders>
            <w:shd w:val="clear" w:color="000000" w:fill="92CDDC"/>
            <w:vAlign w:val="center"/>
            <w:hideMark/>
          </w:tcPr>
          <w:p w14:paraId="43EBDBDE"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$879,134</w:t>
            </w:r>
          </w:p>
        </w:tc>
        <w:tc>
          <w:tcPr>
            <w:tcW w:w="752" w:type="pct"/>
            <w:tcBorders>
              <w:top w:val="single" w:sz="12" w:space="0" w:color="FFFFFF"/>
              <w:left w:val="single" w:sz="12" w:space="0" w:color="FFFFFF"/>
              <w:bottom w:val="single" w:sz="12" w:space="0" w:color="FFFFFF"/>
              <w:right w:val="single" w:sz="8" w:space="0" w:color="auto"/>
            </w:tcBorders>
            <w:shd w:val="clear" w:color="000000" w:fill="92CDDC"/>
            <w:vAlign w:val="center"/>
            <w:hideMark/>
          </w:tcPr>
          <w:p w14:paraId="4A5EB821"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$1,037,755</w:t>
            </w:r>
          </w:p>
        </w:tc>
      </w:tr>
      <w:tr w:rsidR="00D22B15" w:rsidRPr="00D22B15" w14:paraId="070685BE"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2C91C97E"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2015/16</w:t>
            </w:r>
          </w:p>
        </w:tc>
        <w:tc>
          <w:tcPr>
            <w:tcW w:w="753" w:type="pct"/>
            <w:tcBorders>
              <w:top w:val="nil"/>
              <w:left w:val="single" w:sz="12" w:space="0" w:color="FFFFFF"/>
              <w:bottom w:val="single" w:sz="12" w:space="0" w:color="FFFFFF"/>
              <w:right w:val="single" w:sz="12" w:space="0" w:color="FFFFFF"/>
            </w:tcBorders>
            <w:shd w:val="clear" w:color="000000" w:fill="DAEEF3"/>
            <w:vAlign w:val="center"/>
            <w:hideMark/>
          </w:tcPr>
          <w:p w14:paraId="6FEBC3D5"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$449,039</w:t>
            </w:r>
          </w:p>
        </w:tc>
        <w:tc>
          <w:tcPr>
            <w:tcW w:w="753" w:type="pct"/>
            <w:tcBorders>
              <w:top w:val="nil"/>
              <w:left w:val="nil"/>
              <w:bottom w:val="single" w:sz="12" w:space="0" w:color="FFFFFF"/>
              <w:right w:val="single" w:sz="12" w:space="0" w:color="FFFFFF"/>
            </w:tcBorders>
            <w:shd w:val="clear" w:color="000000" w:fill="DAEEF3"/>
            <w:vAlign w:val="center"/>
            <w:hideMark/>
          </w:tcPr>
          <w:p w14:paraId="42C4B325"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$156,959</w:t>
            </w:r>
          </w:p>
        </w:tc>
        <w:tc>
          <w:tcPr>
            <w:tcW w:w="753" w:type="pct"/>
            <w:tcBorders>
              <w:top w:val="nil"/>
              <w:left w:val="nil"/>
              <w:bottom w:val="single" w:sz="12" w:space="0" w:color="FFFFFF"/>
              <w:right w:val="single" w:sz="12" w:space="0" w:color="FFFFFF"/>
            </w:tcBorders>
            <w:shd w:val="clear" w:color="000000" w:fill="DAEEF3"/>
            <w:vAlign w:val="center"/>
            <w:hideMark/>
          </w:tcPr>
          <w:p w14:paraId="0F197A85"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25.9%</w:t>
            </w:r>
          </w:p>
        </w:tc>
        <w:tc>
          <w:tcPr>
            <w:tcW w:w="754" w:type="pct"/>
            <w:tcBorders>
              <w:top w:val="nil"/>
              <w:left w:val="nil"/>
              <w:bottom w:val="single" w:sz="12" w:space="0" w:color="FFFFFF"/>
              <w:right w:val="single" w:sz="12" w:space="0" w:color="FFFFFF"/>
            </w:tcBorders>
            <w:shd w:val="clear" w:color="000000" w:fill="DAEEF3"/>
            <w:vAlign w:val="center"/>
            <w:hideMark/>
          </w:tcPr>
          <w:p w14:paraId="5F7DFF41"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$374,263</w:t>
            </w:r>
          </w:p>
        </w:tc>
        <w:tc>
          <w:tcPr>
            <w:tcW w:w="754" w:type="pct"/>
            <w:tcBorders>
              <w:top w:val="nil"/>
              <w:left w:val="nil"/>
              <w:bottom w:val="single" w:sz="12" w:space="0" w:color="FFFFFF"/>
              <w:right w:val="nil"/>
            </w:tcBorders>
            <w:shd w:val="clear" w:color="000000" w:fill="DAEEF3"/>
            <w:vAlign w:val="center"/>
            <w:hideMark/>
          </w:tcPr>
          <w:p w14:paraId="7FB650A1"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$906,323</w:t>
            </w:r>
          </w:p>
        </w:tc>
        <w:tc>
          <w:tcPr>
            <w:tcW w:w="752" w:type="pct"/>
            <w:tcBorders>
              <w:top w:val="nil"/>
              <w:left w:val="single" w:sz="12" w:space="0" w:color="FFFFFF"/>
              <w:bottom w:val="nil"/>
              <w:right w:val="single" w:sz="8" w:space="0" w:color="auto"/>
            </w:tcBorders>
            <w:shd w:val="clear" w:color="000000" w:fill="DAEEF3"/>
            <w:vAlign w:val="center"/>
            <w:hideMark/>
          </w:tcPr>
          <w:p w14:paraId="10401F89"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$980,261</w:t>
            </w:r>
          </w:p>
        </w:tc>
      </w:tr>
      <w:tr w:rsidR="00D22B15" w:rsidRPr="00D22B15" w14:paraId="5CD615D4"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20457BA1"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2016/17</w:t>
            </w:r>
          </w:p>
        </w:tc>
        <w:tc>
          <w:tcPr>
            <w:tcW w:w="753" w:type="pct"/>
            <w:tcBorders>
              <w:top w:val="nil"/>
              <w:left w:val="single" w:sz="12" w:space="0" w:color="FFFFFF"/>
              <w:bottom w:val="single" w:sz="12" w:space="0" w:color="FFFFFF"/>
              <w:right w:val="single" w:sz="12" w:space="0" w:color="FFFFFF"/>
            </w:tcBorders>
            <w:shd w:val="clear" w:color="000000" w:fill="92CDDC"/>
            <w:vAlign w:val="center"/>
            <w:hideMark/>
          </w:tcPr>
          <w:p w14:paraId="24A48C68"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$500,682</w:t>
            </w:r>
          </w:p>
        </w:tc>
        <w:tc>
          <w:tcPr>
            <w:tcW w:w="753" w:type="pct"/>
            <w:tcBorders>
              <w:top w:val="nil"/>
              <w:left w:val="nil"/>
              <w:bottom w:val="single" w:sz="12" w:space="0" w:color="FFFFFF"/>
              <w:right w:val="single" w:sz="12" w:space="0" w:color="FFFFFF"/>
            </w:tcBorders>
            <w:shd w:val="clear" w:color="000000" w:fill="92CDDC"/>
            <w:vAlign w:val="center"/>
            <w:hideMark/>
          </w:tcPr>
          <w:p w14:paraId="57AB3F1B"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$153,382</w:t>
            </w:r>
          </w:p>
        </w:tc>
        <w:tc>
          <w:tcPr>
            <w:tcW w:w="753" w:type="pct"/>
            <w:tcBorders>
              <w:top w:val="nil"/>
              <w:left w:val="nil"/>
              <w:bottom w:val="single" w:sz="12" w:space="0" w:color="FFFFFF"/>
              <w:right w:val="single" w:sz="12" w:space="0" w:color="FFFFFF"/>
            </w:tcBorders>
            <w:shd w:val="clear" w:color="000000" w:fill="92CDDC"/>
            <w:vAlign w:val="center"/>
            <w:hideMark/>
          </w:tcPr>
          <w:p w14:paraId="5FA0DA08"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23.5%</w:t>
            </w:r>
          </w:p>
        </w:tc>
        <w:tc>
          <w:tcPr>
            <w:tcW w:w="754" w:type="pct"/>
            <w:tcBorders>
              <w:top w:val="nil"/>
              <w:left w:val="nil"/>
              <w:bottom w:val="single" w:sz="12" w:space="0" w:color="FFFFFF"/>
              <w:right w:val="single" w:sz="12" w:space="0" w:color="FFFFFF"/>
            </w:tcBorders>
            <w:shd w:val="clear" w:color="000000" w:fill="92CDDC"/>
            <w:vAlign w:val="center"/>
            <w:hideMark/>
          </w:tcPr>
          <w:p w14:paraId="38D93BF9"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$493,066</w:t>
            </w:r>
          </w:p>
        </w:tc>
        <w:tc>
          <w:tcPr>
            <w:tcW w:w="754" w:type="pct"/>
            <w:tcBorders>
              <w:top w:val="nil"/>
              <w:left w:val="nil"/>
              <w:bottom w:val="single" w:sz="12" w:space="0" w:color="FFFFFF"/>
              <w:right w:val="nil"/>
            </w:tcBorders>
            <w:shd w:val="clear" w:color="000000" w:fill="92CDDC"/>
            <w:vAlign w:val="center"/>
            <w:hideMark/>
          </w:tcPr>
          <w:p w14:paraId="00DE9BD9"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$1,041,076</w:t>
            </w:r>
          </w:p>
        </w:tc>
        <w:tc>
          <w:tcPr>
            <w:tcW w:w="752" w:type="pct"/>
            <w:tcBorders>
              <w:top w:val="single" w:sz="12" w:space="0" w:color="FFFFFF"/>
              <w:left w:val="single" w:sz="12" w:space="0" w:color="FFFFFF"/>
              <w:bottom w:val="single" w:sz="12" w:space="0" w:color="FFFFFF"/>
              <w:right w:val="single" w:sz="8" w:space="0" w:color="auto"/>
            </w:tcBorders>
            <w:shd w:val="clear" w:color="000000" w:fill="92CDDC"/>
            <w:vAlign w:val="center"/>
            <w:hideMark/>
          </w:tcPr>
          <w:p w14:paraId="770D85E2"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$1,147,130</w:t>
            </w:r>
          </w:p>
        </w:tc>
      </w:tr>
      <w:tr w:rsidR="00D22B15" w:rsidRPr="00D22B15" w14:paraId="03E2D44D"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1C104C98"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2017/18</w:t>
            </w:r>
          </w:p>
        </w:tc>
        <w:tc>
          <w:tcPr>
            <w:tcW w:w="753" w:type="pct"/>
            <w:tcBorders>
              <w:top w:val="single" w:sz="8" w:space="0" w:color="FFFFFF"/>
              <w:left w:val="single" w:sz="8" w:space="0" w:color="FFFFFF"/>
              <w:bottom w:val="single" w:sz="8" w:space="0" w:color="FFFFFF"/>
              <w:right w:val="single" w:sz="8" w:space="0" w:color="FFFFFF"/>
            </w:tcBorders>
            <w:shd w:val="clear" w:color="000000" w:fill="DAEEF3"/>
            <w:vAlign w:val="center"/>
            <w:hideMark/>
          </w:tcPr>
          <w:p w14:paraId="3857303F"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$473,857</w:t>
            </w:r>
          </w:p>
        </w:tc>
        <w:tc>
          <w:tcPr>
            <w:tcW w:w="753" w:type="pct"/>
            <w:tcBorders>
              <w:top w:val="single" w:sz="8" w:space="0" w:color="FFFFFF"/>
              <w:left w:val="nil"/>
              <w:bottom w:val="single" w:sz="8" w:space="0" w:color="FFFFFF"/>
              <w:right w:val="single" w:sz="8" w:space="0" w:color="FFFFFF"/>
            </w:tcBorders>
            <w:shd w:val="clear" w:color="000000" w:fill="DAEEF3"/>
            <w:vAlign w:val="center"/>
            <w:hideMark/>
          </w:tcPr>
          <w:p w14:paraId="03E2B03D"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$110,183</w:t>
            </w:r>
          </w:p>
        </w:tc>
        <w:tc>
          <w:tcPr>
            <w:tcW w:w="753" w:type="pct"/>
            <w:tcBorders>
              <w:top w:val="single" w:sz="8" w:space="0" w:color="FFFFFF"/>
              <w:left w:val="nil"/>
              <w:bottom w:val="single" w:sz="8" w:space="0" w:color="FFFFFF"/>
              <w:right w:val="single" w:sz="8" w:space="0" w:color="FFFFFF"/>
            </w:tcBorders>
            <w:shd w:val="clear" w:color="000000" w:fill="DAEEF3"/>
            <w:vAlign w:val="center"/>
            <w:hideMark/>
          </w:tcPr>
          <w:p w14:paraId="2A8FD559"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18.80%</w:t>
            </w:r>
          </w:p>
        </w:tc>
        <w:tc>
          <w:tcPr>
            <w:tcW w:w="754" w:type="pct"/>
            <w:tcBorders>
              <w:top w:val="single" w:sz="8" w:space="0" w:color="FFFFFF"/>
              <w:left w:val="nil"/>
              <w:bottom w:val="single" w:sz="8" w:space="0" w:color="FFFFFF"/>
              <w:right w:val="single" w:sz="8" w:space="0" w:color="FFFFFF"/>
            </w:tcBorders>
            <w:shd w:val="clear" w:color="000000" w:fill="DAEEF3"/>
            <w:vAlign w:val="center"/>
            <w:hideMark/>
          </w:tcPr>
          <w:p w14:paraId="6AF89238"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$436,562</w:t>
            </w:r>
          </w:p>
        </w:tc>
        <w:tc>
          <w:tcPr>
            <w:tcW w:w="754" w:type="pct"/>
            <w:tcBorders>
              <w:top w:val="single" w:sz="8" w:space="0" w:color="FFFFFF"/>
              <w:left w:val="nil"/>
              <w:bottom w:val="single" w:sz="8" w:space="0" w:color="FFFFFF"/>
              <w:right w:val="single" w:sz="8" w:space="0" w:color="FFFFFF"/>
            </w:tcBorders>
            <w:shd w:val="clear" w:color="000000" w:fill="DAEEF3"/>
            <w:vAlign w:val="center"/>
            <w:hideMark/>
          </w:tcPr>
          <w:p w14:paraId="5D0E54D8"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$1,216,910</w:t>
            </w:r>
          </w:p>
        </w:tc>
        <w:tc>
          <w:tcPr>
            <w:tcW w:w="752" w:type="pct"/>
            <w:tcBorders>
              <w:top w:val="single" w:sz="8" w:space="0" w:color="FFFFFF"/>
              <w:left w:val="nil"/>
              <w:bottom w:val="single" w:sz="8" w:space="0" w:color="FFFFFF"/>
              <w:right w:val="single" w:sz="8" w:space="0" w:color="auto"/>
            </w:tcBorders>
            <w:shd w:val="clear" w:color="000000" w:fill="DAEEF3"/>
            <w:vAlign w:val="center"/>
            <w:hideMark/>
          </w:tcPr>
          <w:p w14:paraId="09D9CEE5" w14:textId="77777777" w:rsidR="00D22B15" w:rsidRPr="00D22B15" w:rsidRDefault="00D22B15" w:rsidP="00D22B15">
            <w:pPr>
              <w:spacing w:after="0"/>
              <w:jc w:val="center"/>
              <w:rPr>
                <w:rFonts w:ascii="Arial Narrow" w:hAnsi="Arial Narrow"/>
                <w:b/>
                <w:bCs/>
                <w:color w:val="000000"/>
                <w:sz w:val="22"/>
                <w:szCs w:val="22"/>
                <w:lang w:eastAsia="en-AU"/>
              </w:rPr>
            </w:pPr>
            <w:r w:rsidRPr="00D22B15">
              <w:rPr>
                <w:rFonts w:ascii="Arial Narrow" w:hAnsi="Arial Narrow"/>
                <w:b/>
                <w:bCs/>
                <w:color w:val="000000"/>
                <w:sz w:val="22"/>
                <w:szCs w:val="22"/>
                <w:lang w:eastAsia="en-AU"/>
              </w:rPr>
              <w:t>$1,020,602</w:t>
            </w:r>
          </w:p>
        </w:tc>
      </w:tr>
      <w:tr w:rsidR="00D22B15" w:rsidRPr="00D22B15" w14:paraId="6BD14526" w14:textId="77777777" w:rsidTr="001D3BE2">
        <w:trPr>
          <w:trHeight w:val="499"/>
        </w:trPr>
        <w:tc>
          <w:tcPr>
            <w:tcW w:w="480" w:type="pct"/>
            <w:tcBorders>
              <w:top w:val="single" w:sz="8" w:space="0" w:color="FFFFFF"/>
              <w:left w:val="single" w:sz="8" w:space="0" w:color="auto"/>
              <w:bottom w:val="nil"/>
              <w:right w:val="nil"/>
            </w:tcBorders>
            <w:shd w:val="clear" w:color="000000" w:fill="4BACC6"/>
            <w:vAlign w:val="center"/>
            <w:hideMark/>
          </w:tcPr>
          <w:p w14:paraId="2FF74EC9"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2018/19</w:t>
            </w:r>
          </w:p>
        </w:tc>
        <w:tc>
          <w:tcPr>
            <w:tcW w:w="753" w:type="pct"/>
            <w:tcBorders>
              <w:top w:val="single" w:sz="12" w:space="0" w:color="FFFFFF"/>
              <w:left w:val="single" w:sz="12" w:space="0" w:color="FFFFFF"/>
              <w:bottom w:val="single" w:sz="12" w:space="0" w:color="FFFFFF"/>
              <w:right w:val="single" w:sz="12" w:space="0" w:color="FFFFFF"/>
            </w:tcBorders>
            <w:shd w:val="clear" w:color="000000" w:fill="92CDDC"/>
            <w:vAlign w:val="center"/>
            <w:hideMark/>
          </w:tcPr>
          <w:p w14:paraId="3D96536E"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$568,421</w:t>
            </w:r>
          </w:p>
        </w:tc>
        <w:tc>
          <w:tcPr>
            <w:tcW w:w="753" w:type="pct"/>
            <w:tcBorders>
              <w:top w:val="single" w:sz="12" w:space="0" w:color="FFFFFF"/>
              <w:left w:val="nil"/>
              <w:bottom w:val="single" w:sz="12" w:space="0" w:color="FFFFFF"/>
              <w:right w:val="single" w:sz="12" w:space="0" w:color="FFFFFF"/>
            </w:tcBorders>
            <w:shd w:val="clear" w:color="000000" w:fill="92CDDC"/>
            <w:vAlign w:val="center"/>
            <w:hideMark/>
          </w:tcPr>
          <w:p w14:paraId="4B0B77B4"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$138,306</w:t>
            </w:r>
          </w:p>
        </w:tc>
        <w:tc>
          <w:tcPr>
            <w:tcW w:w="753" w:type="pct"/>
            <w:tcBorders>
              <w:top w:val="single" w:sz="12" w:space="0" w:color="FFFFFF"/>
              <w:left w:val="nil"/>
              <w:bottom w:val="single" w:sz="12" w:space="0" w:color="FFFFFF"/>
              <w:right w:val="single" w:sz="12" w:space="0" w:color="FFFFFF"/>
            </w:tcBorders>
            <w:shd w:val="clear" w:color="000000" w:fill="92CDDC"/>
            <w:vAlign w:val="center"/>
            <w:hideMark/>
          </w:tcPr>
          <w:p w14:paraId="11FC1EF1"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19.6%</w:t>
            </w:r>
          </w:p>
        </w:tc>
        <w:tc>
          <w:tcPr>
            <w:tcW w:w="754" w:type="pct"/>
            <w:tcBorders>
              <w:top w:val="single" w:sz="12" w:space="0" w:color="FFFFFF"/>
              <w:left w:val="nil"/>
              <w:bottom w:val="single" w:sz="12" w:space="0" w:color="FFFFFF"/>
              <w:right w:val="single" w:sz="12" w:space="0" w:color="FFFFFF"/>
            </w:tcBorders>
            <w:shd w:val="clear" w:color="000000" w:fill="92CDDC"/>
            <w:vAlign w:val="center"/>
            <w:hideMark/>
          </w:tcPr>
          <w:p w14:paraId="103BC245"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$334,685</w:t>
            </w:r>
          </w:p>
        </w:tc>
        <w:tc>
          <w:tcPr>
            <w:tcW w:w="754" w:type="pct"/>
            <w:tcBorders>
              <w:top w:val="single" w:sz="12" w:space="0" w:color="FFFFFF"/>
              <w:left w:val="nil"/>
              <w:bottom w:val="single" w:sz="12" w:space="0" w:color="FFFFFF"/>
              <w:right w:val="nil"/>
            </w:tcBorders>
            <w:shd w:val="clear" w:color="000000" w:fill="92CDDC"/>
            <w:vAlign w:val="center"/>
            <w:hideMark/>
          </w:tcPr>
          <w:p w14:paraId="5F9885D0" w14:textId="77777777" w:rsidR="00D22B15" w:rsidRPr="00D22B15" w:rsidRDefault="00D22B15" w:rsidP="00D22B15">
            <w:pPr>
              <w:spacing w:after="0"/>
              <w:jc w:val="center"/>
              <w:rPr>
                <w:rFonts w:ascii="Arial Narrow" w:hAnsi="Arial Narrow"/>
                <w:color w:val="000000"/>
                <w:szCs w:val="24"/>
                <w:lang w:eastAsia="en-AU"/>
              </w:rPr>
            </w:pPr>
            <w:r w:rsidRPr="00D22B15">
              <w:rPr>
                <w:rFonts w:ascii="Arial Narrow" w:hAnsi="Arial Narrow"/>
                <w:color w:val="000000"/>
                <w:szCs w:val="24"/>
                <w:lang w:eastAsia="en-AU"/>
              </w:rPr>
              <w:t>$940,696</w:t>
            </w:r>
          </w:p>
        </w:tc>
        <w:tc>
          <w:tcPr>
            <w:tcW w:w="752" w:type="pct"/>
            <w:tcBorders>
              <w:top w:val="single" w:sz="12" w:space="0" w:color="FFFFFF"/>
              <w:left w:val="single" w:sz="12" w:space="0" w:color="FFFFFF"/>
              <w:bottom w:val="single" w:sz="12" w:space="0" w:color="FFFFFF"/>
              <w:right w:val="single" w:sz="8" w:space="0" w:color="auto"/>
            </w:tcBorders>
            <w:shd w:val="clear" w:color="000000" w:fill="92CDDC"/>
            <w:vAlign w:val="center"/>
            <w:hideMark/>
          </w:tcPr>
          <w:p w14:paraId="795277F7" w14:textId="77777777" w:rsidR="00D22B15" w:rsidRPr="00D22B15" w:rsidRDefault="00D22B15" w:rsidP="00D22B15">
            <w:pPr>
              <w:spacing w:after="0"/>
              <w:jc w:val="center"/>
              <w:rPr>
                <w:rFonts w:ascii="Arial Narrow" w:hAnsi="Arial Narrow"/>
                <w:b/>
                <w:bCs/>
                <w:color w:val="000000"/>
                <w:szCs w:val="24"/>
                <w:lang w:eastAsia="en-AU"/>
              </w:rPr>
            </w:pPr>
            <w:r w:rsidRPr="00D22B15">
              <w:rPr>
                <w:rFonts w:ascii="Arial Narrow" w:hAnsi="Arial Narrow"/>
                <w:b/>
                <w:bCs/>
                <w:color w:val="000000"/>
                <w:szCs w:val="24"/>
                <w:lang w:eastAsia="en-AU"/>
              </w:rPr>
              <w:t>$1,041,412</w:t>
            </w:r>
          </w:p>
        </w:tc>
      </w:tr>
      <w:tr w:rsidR="00D22B15" w:rsidRPr="00D22B15" w14:paraId="1672EC29" w14:textId="77777777" w:rsidTr="001D3BE2">
        <w:trPr>
          <w:trHeight w:val="499"/>
        </w:trPr>
        <w:tc>
          <w:tcPr>
            <w:tcW w:w="480" w:type="pct"/>
            <w:tcBorders>
              <w:top w:val="single" w:sz="8" w:space="0" w:color="FFFFFF"/>
              <w:left w:val="single" w:sz="8" w:space="0" w:color="auto"/>
              <w:bottom w:val="single" w:sz="8" w:space="0" w:color="auto"/>
              <w:right w:val="nil"/>
            </w:tcBorders>
            <w:shd w:val="clear" w:color="000000" w:fill="4BACC6"/>
            <w:vAlign w:val="center"/>
            <w:hideMark/>
          </w:tcPr>
          <w:p w14:paraId="5656BDE9" w14:textId="77777777" w:rsidR="00D22B15" w:rsidRPr="002F0DCB" w:rsidRDefault="00D22B15" w:rsidP="00D22B15">
            <w:pPr>
              <w:spacing w:after="0"/>
              <w:jc w:val="center"/>
              <w:rPr>
                <w:rFonts w:ascii="Arial Narrow" w:hAnsi="Arial Narrow"/>
                <w:b/>
                <w:color w:val="FFFFFF"/>
                <w:szCs w:val="24"/>
                <w:lang w:eastAsia="en-AU"/>
              </w:rPr>
            </w:pPr>
            <w:r w:rsidRPr="002F0DCB">
              <w:rPr>
                <w:rFonts w:ascii="Arial Narrow" w:hAnsi="Arial Narrow"/>
                <w:b/>
                <w:color w:val="FFFFFF"/>
                <w:szCs w:val="24"/>
                <w:lang w:eastAsia="en-AU"/>
              </w:rPr>
              <w:t>2019/20</w:t>
            </w:r>
          </w:p>
        </w:tc>
        <w:tc>
          <w:tcPr>
            <w:tcW w:w="753" w:type="pct"/>
            <w:tcBorders>
              <w:top w:val="single" w:sz="8" w:space="0" w:color="FFFFFF"/>
              <w:left w:val="single" w:sz="8" w:space="0" w:color="FFFFFF"/>
              <w:bottom w:val="single" w:sz="8" w:space="0" w:color="auto"/>
              <w:right w:val="single" w:sz="8" w:space="0" w:color="FFFFFF"/>
            </w:tcBorders>
            <w:shd w:val="clear" w:color="000000" w:fill="DAEEF3"/>
            <w:vAlign w:val="center"/>
            <w:hideMark/>
          </w:tcPr>
          <w:p w14:paraId="58C07E44"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$714,498</w:t>
            </w:r>
          </w:p>
        </w:tc>
        <w:tc>
          <w:tcPr>
            <w:tcW w:w="753" w:type="pct"/>
            <w:tcBorders>
              <w:top w:val="single" w:sz="8" w:space="0" w:color="FFFFFF"/>
              <w:left w:val="nil"/>
              <w:bottom w:val="single" w:sz="8" w:space="0" w:color="auto"/>
              <w:right w:val="single" w:sz="8" w:space="0" w:color="FFFFFF"/>
            </w:tcBorders>
            <w:shd w:val="clear" w:color="000000" w:fill="DAEEF3"/>
            <w:vAlign w:val="center"/>
            <w:hideMark/>
          </w:tcPr>
          <w:p w14:paraId="6BB8E2BF"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$180,769</w:t>
            </w:r>
          </w:p>
        </w:tc>
        <w:tc>
          <w:tcPr>
            <w:tcW w:w="753" w:type="pct"/>
            <w:tcBorders>
              <w:top w:val="single" w:sz="8" w:space="0" w:color="FFFFFF"/>
              <w:left w:val="nil"/>
              <w:bottom w:val="single" w:sz="8" w:space="0" w:color="auto"/>
              <w:right w:val="single" w:sz="8" w:space="0" w:color="FFFFFF"/>
            </w:tcBorders>
            <w:shd w:val="clear" w:color="000000" w:fill="DAEEF3"/>
            <w:vAlign w:val="center"/>
            <w:hideMark/>
          </w:tcPr>
          <w:p w14:paraId="2EDFB6BE"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20.19%</w:t>
            </w:r>
          </w:p>
        </w:tc>
        <w:tc>
          <w:tcPr>
            <w:tcW w:w="754" w:type="pct"/>
            <w:tcBorders>
              <w:top w:val="single" w:sz="8" w:space="0" w:color="FFFFFF"/>
              <w:left w:val="nil"/>
              <w:bottom w:val="single" w:sz="8" w:space="0" w:color="auto"/>
              <w:right w:val="single" w:sz="8" w:space="0" w:color="FFFFFF"/>
            </w:tcBorders>
            <w:shd w:val="clear" w:color="000000" w:fill="DAEEF3"/>
            <w:vAlign w:val="center"/>
            <w:hideMark/>
          </w:tcPr>
          <w:p w14:paraId="57726C84"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$153,136</w:t>
            </w:r>
          </w:p>
        </w:tc>
        <w:tc>
          <w:tcPr>
            <w:tcW w:w="754" w:type="pct"/>
            <w:tcBorders>
              <w:top w:val="single" w:sz="8" w:space="0" w:color="FFFFFF"/>
              <w:left w:val="nil"/>
              <w:bottom w:val="single" w:sz="8" w:space="0" w:color="auto"/>
              <w:right w:val="single" w:sz="8" w:space="0" w:color="FFFFFF"/>
            </w:tcBorders>
            <w:shd w:val="clear" w:color="000000" w:fill="DAEEF3"/>
            <w:vAlign w:val="center"/>
            <w:hideMark/>
          </w:tcPr>
          <w:p w14:paraId="5BB9E775" w14:textId="77777777" w:rsidR="00D22B15" w:rsidRPr="00D22B15" w:rsidRDefault="00D22B15" w:rsidP="00D22B15">
            <w:pPr>
              <w:spacing w:after="0"/>
              <w:jc w:val="center"/>
              <w:rPr>
                <w:rFonts w:ascii="Arial Narrow" w:hAnsi="Arial Narrow"/>
                <w:color w:val="000000"/>
                <w:sz w:val="22"/>
                <w:szCs w:val="22"/>
                <w:lang w:eastAsia="en-AU"/>
              </w:rPr>
            </w:pPr>
            <w:r w:rsidRPr="00D22B15">
              <w:rPr>
                <w:rFonts w:ascii="Arial Narrow" w:hAnsi="Arial Narrow"/>
                <w:color w:val="000000"/>
                <w:sz w:val="22"/>
                <w:szCs w:val="22"/>
                <w:lang w:eastAsia="en-AU"/>
              </w:rPr>
              <w:t>$1,159,354</w:t>
            </w:r>
          </w:p>
        </w:tc>
        <w:tc>
          <w:tcPr>
            <w:tcW w:w="752" w:type="pct"/>
            <w:tcBorders>
              <w:top w:val="single" w:sz="8" w:space="0" w:color="FFFFFF"/>
              <w:left w:val="nil"/>
              <w:bottom w:val="single" w:sz="8" w:space="0" w:color="auto"/>
              <w:right w:val="single" w:sz="8" w:space="0" w:color="auto"/>
            </w:tcBorders>
            <w:shd w:val="clear" w:color="000000" w:fill="DAEEF3"/>
            <w:vAlign w:val="center"/>
            <w:hideMark/>
          </w:tcPr>
          <w:p w14:paraId="05F155BD" w14:textId="77777777" w:rsidR="00D22B15" w:rsidRPr="00D22B15" w:rsidRDefault="00D22B15" w:rsidP="00D22B15">
            <w:pPr>
              <w:spacing w:after="0"/>
              <w:jc w:val="center"/>
              <w:rPr>
                <w:rFonts w:ascii="Arial Narrow" w:hAnsi="Arial Narrow"/>
                <w:b/>
                <w:bCs/>
                <w:color w:val="000000"/>
                <w:sz w:val="22"/>
                <w:szCs w:val="22"/>
                <w:lang w:eastAsia="en-AU"/>
              </w:rPr>
            </w:pPr>
            <w:r w:rsidRPr="00D22B15">
              <w:rPr>
                <w:rFonts w:ascii="Arial Narrow" w:hAnsi="Arial Narrow"/>
                <w:b/>
                <w:bCs/>
                <w:color w:val="000000"/>
                <w:sz w:val="22"/>
                <w:szCs w:val="22"/>
                <w:lang w:eastAsia="en-AU"/>
              </w:rPr>
              <w:t>$1,048,403</w:t>
            </w:r>
          </w:p>
        </w:tc>
      </w:tr>
    </w:tbl>
    <w:p w14:paraId="51DA92B9" w14:textId="77777777" w:rsidR="00813D05" w:rsidRDefault="00813D05" w:rsidP="00AD53DA">
      <w:pPr>
        <w:pStyle w:val="BodyText"/>
        <w:ind w:right="375"/>
        <w:rPr>
          <w:rFonts w:cs="Arial"/>
          <w:szCs w:val="24"/>
        </w:rPr>
      </w:pPr>
    </w:p>
    <w:p w14:paraId="493B9507" w14:textId="77777777" w:rsidR="0091031F" w:rsidRPr="00EA6639" w:rsidRDefault="00FE60BD" w:rsidP="00AD53DA">
      <w:pPr>
        <w:pStyle w:val="BodyText"/>
        <w:ind w:right="375"/>
        <w:rPr>
          <w:rFonts w:cs="Arial"/>
          <w:szCs w:val="24"/>
        </w:rPr>
      </w:pPr>
      <w:r w:rsidRPr="00032DB0">
        <w:rPr>
          <w:szCs w:val="24"/>
        </w:rPr>
        <w:t>Planned maintenance work for the financial year 201</w:t>
      </w:r>
      <w:r>
        <w:rPr>
          <w:szCs w:val="24"/>
        </w:rPr>
        <w:t>9</w:t>
      </w:r>
      <w:r w:rsidRPr="00032DB0">
        <w:rPr>
          <w:szCs w:val="24"/>
        </w:rPr>
        <w:t>/</w:t>
      </w:r>
      <w:r>
        <w:rPr>
          <w:szCs w:val="24"/>
        </w:rPr>
        <w:t>20</w:t>
      </w:r>
      <w:r w:rsidRPr="00032DB0">
        <w:rPr>
          <w:szCs w:val="24"/>
        </w:rPr>
        <w:t xml:space="preserve"> was </w:t>
      </w:r>
      <w:r>
        <w:rPr>
          <w:szCs w:val="24"/>
        </w:rPr>
        <w:t>80</w:t>
      </w:r>
      <w:r w:rsidRPr="00032DB0">
        <w:rPr>
          <w:rFonts w:cs="Arial"/>
          <w:b/>
          <w:szCs w:val="24"/>
        </w:rPr>
        <w:t xml:space="preserve">% </w:t>
      </w:r>
      <w:r w:rsidRPr="00032DB0">
        <w:rPr>
          <w:rFonts w:cs="Arial"/>
          <w:szCs w:val="24"/>
        </w:rPr>
        <w:t>of the total maintenance expenditure.</w:t>
      </w:r>
      <w:r>
        <w:rPr>
          <w:rFonts w:cs="Arial"/>
          <w:szCs w:val="24"/>
        </w:rPr>
        <w:t xml:space="preserve"> </w:t>
      </w:r>
      <w:r w:rsidR="0091031F" w:rsidRPr="00EA6639">
        <w:rPr>
          <w:rFonts w:cs="Arial"/>
          <w:szCs w:val="24"/>
        </w:rPr>
        <w:t xml:space="preserve">Maintenance expenditure levels are considered to be </w:t>
      </w:r>
      <w:r w:rsidR="0091031F" w:rsidRPr="00EA6639">
        <w:rPr>
          <w:rFonts w:cs="Arial"/>
          <w:szCs w:val="24"/>
        </w:rPr>
        <w:lastRenderedPageBreak/>
        <w:t xml:space="preserve">adequate to meet </w:t>
      </w:r>
      <w:r w:rsidR="00CE6D8E">
        <w:rPr>
          <w:rFonts w:cs="Arial"/>
          <w:szCs w:val="24"/>
        </w:rPr>
        <w:t>current</w:t>
      </w:r>
      <w:r w:rsidR="0091031F" w:rsidRPr="00EA6639">
        <w:rPr>
          <w:rFonts w:cs="Arial"/>
          <w:szCs w:val="24"/>
        </w:rPr>
        <w:t xml:space="preserve"> service levels.  Future revision of this asset management plan will include linking required maintenance expenditur</w:t>
      </w:r>
      <w:r w:rsidR="00CE6D8E">
        <w:rPr>
          <w:rFonts w:cs="Arial"/>
          <w:szCs w:val="24"/>
        </w:rPr>
        <w:t>es with desired service levels and this has been included in the improvement strategy.</w:t>
      </w:r>
    </w:p>
    <w:p w14:paraId="0DD114DF" w14:textId="77777777" w:rsidR="0091031F" w:rsidRPr="006F08FA" w:rsidRDefault="0091031F" w:rsidP="00AD53DA">
      <w:pPr>
        <w:pStyle w:val="Heading3"/>
        <w:spacing w:before="360"/>
        <w:ind w:right="375"/>
        <w:rPr>
          <w:color w:val="0070C0"/>
          <w:szCs w:val="24"/>
        </w:rPr>
      </w:pPr>
      <w:bookmarkStart w:id="34" w:name="_Toc56419073"/>
      <w:r w:rsidRPr="006F08FA">
        <w:rPr>
          <w:color w:val="0070C0"/>
          <w:szCs w:val="24"/>
        </w:rPr>
        <w:t>5.</w:t>
      </w:r>
      <w:r w:rsidR="00E26C57" w:rsidRPr="006F08FA">
        <w:rPr>
          <w:color w:val="0070C0"/>
          <w:szCs w:val="24"/>
        </w:rPr>
        <w:t>2.</w:t>
      </w:r>
      <w:r w:rsidR="00813D05" w:rsidRPr="006F08FA">
        <w:rPr>
          <w:color w:val="0070C0"/>
          <w:szCs w:val="24"/>
        </w:rPr>
        <w:t>1</w:t>
      </w:r>
      <w:r w:rsidRPr="006F08FA">
        <w:rPr>
          <w:color w:val="0070C0"/>
          <w:szCs w:val="24"/>
        </w:rPr>
        <w:tab/>
        <w:t>Summary of future maintenance expenditures</w:t>
      </w:r>
      <w:bookmarkEnd w:id="34"/>
    </w:p>
    <w:p w14:paraId="291A74FF" w14:textId="77777777" w:rsidR="00414F4F" w:rsidRDefault="00813D05" w:rsidP="00AD53DA">
      <w:pPr>
        <w:pStyle w:val="BodyText"/>
        <w:spacing w:before="240"/>
        <w:ind w:right="375"/>
        <w:rPr>
          <w:rFonts w:cs="Arial"/>
          <w:szCs w:val="24"/>
        </w:rPr>
      </w:pPr>
      <w:r>
        <w:rPr>
          <w:rFonts w:cs="Arial"/>
          <w:szCs w:val="24"/>
        </w:rPr>
        <w:t>The f</w:t>
      </w:r>
      <w:r w:rsidR="0091031F" w:rsidRPr="00EA6639">
        <w:rPr>
          <w:rFonts w:cs="Arial"/>
          <w:szCs w:val="24"/>
        </w:rPr>
        <w:t xml:space="preserve">uture maintenance </w:t>
      </w:r>
      <w:r w:rsidR="00551FF5">
        <w:rPr>
          <w:rFonts w:cs="Arial"/>
          <w:szCs w:val="24"/>
        </w:rPr>
        <w:t xml:space="preserve">and operating </w:t>
      </w:r>
      <w:r w:rsidR="0091031F" w:rsidRPr="00EA6639">
        <w:rPr>
          <w:rFonts w:cs="Arial"/>
          <w:szCs w:val="24"/>
        </w:rPr>
        <w:t xml:space="preserve">expenditure </w:t>
      </w:r>
      <w:proofErr w:type="gramStart"/>
      <w:r w:rsidR="0091031F" w:rsidRPr="00EA6639">
        <w:rPr>
          <w:rFonts w:cs="Arial"/>
          <w:szCs w:val="24"/>
        </w:rPr>
        <w:t>is</w:t>
      </w:r>
      <w:proofErr w:type="gramEnd"/>
      <w:r w:rsidR="0091031F" w:rsidRPr="00EA6639">
        <w:rPr>
          <w:rFonts w:cs="Arial"/>
          <w:szCs w:val="24"/>
        </w:rPr>
        <w:t xml:space="preserve"> forecast to </w:t>
      </w:r>
      <w:r w:rsidR="00551FF5">
        <w:rPr>
          <w:rFonts w:cs="Arial"/>
          <w:szCs w:val="24"/>
        </w:rPr>
        <w:t>grow</w:t>
      </w:r>
      <w:r w:rsidR="0091031F" w:rsidRPr="00EA6639">
        <w:rPr>
          <w:rFonts w:cs="Arial"/>
          <w:szCs w:val="24"/>
        </w:rPr>
        <w:t xml:space="preserve"> in line wit</w:t>
      </w:r>
      <w:r w:rsidR="00184392">
        <w:rPr>
          <w:rFonts w:cs="Arial"/>
          <w:szCs w:val="24"/>
        </w:rPr>
        <w:t>h the value of the asset stock</w:t>
      </w:r>
      <w:r w:rsidR="00FA4B2B">
        <w:rPr>
          <w:rFonts w:cs="Arial"/>
          <w:szCs w:val="24"/>
        </w:rPr>
        <w:t xml:space="preserve"> and this increase needs to be budgeted to ensure new footpath assets are maintained to the service level identified in section 3. </w:t>
      </w:r>
      <w:r w:rsidR="00184392">
        <w:rPr>
          <w:rFonts w:cs="Arial"/>
          <w:szCs w:val="24"/>
        </w:rPr>
        <w:t xml:space="preserve"> </w:t>
      </w:r>
      <w:r w:rsidR="00FA4B2B">
        <w:rPr>
          <w:rFonts w:cs="Arial"/>
          <w:szCs w:val="24"/>
        </w:rPr>
        <w:t>This is further discussed in Section 6.2 of the Financial Analysis.</w:t>
      </w:r>
    </w:p>
    <w:p w14:paraId="77072723" w14:textId="77777777" w:rsidR="0091031F" w:rsidRDefault="00184392" w:rsidP="00AD53DA">
      <w:pPr>
        <w:pStyle w:val="BodyText"/>
        <w:spacing w:before="240"/>
        <w:ind w:right="375"/>
        <w:rPr>
          <w:rFonts w:cs="Arial"/>
          <w:szCs w:val="24"/>
        </w:rPr>
      </w:pPr>
      <w:r>
        <w:rPr>
          <w:rFonts w:cs="Arial"/>
          <w:szCs w:val="24"/>
        </w:rPr>
        <w:t>The forecast expenditure has been calculated as follows:</w:t>
      </w:r>
    </w:p>
    <w:p w14:paraId="68755503" w14:textId="77777777" w:rsidR="00184392" w:rsidRDefault="00184392" w:rsidP="00A06614">
      <w:pPr>
        <w:pStyle w:val="BodyText"/>
        <w:numPr>
          <w:ilvl w:val="0"/>
          <w:numId w:val="14"/>
        </w:numPr>
        <w:spacing w:before="240"/>
        <w:ind w:right="375"/>
        <w:rPr>
          <w:rFonts w:cs="Arial"/>
          <w:szCs w:val="24"/>
        </w:rPr>
      </w:pPr>
      <w:r>
        <w:rPr>
          <w:rFonts w:cs="Arial"/>
          <w:szCs w:val="24"/>
        </w:rPr>
        <w:t xml:space="preserve">Current maintenance expenditure for </w:t>
      </w:r>
      <w:r w:rsidR="000C41E5">
        <w:rPr>
          <w:rFonts w:cs="Arial"/>
          <w:szCs w:val="24"/>
        </w:rPr>
        <w:t>1</w:t>
      </w:r>
      <w:r w:rsidR="00D37287">
        <w:rPr>
          <w:rFonts w:cs="Arial"/>
          <w:szCs w:val="24"/>
        </w:rPr>
        <w:t>9</w:t>
      </w:r>
      <w:r w:rsidR="000C41E5">
        <w:rPr>
          <w:rFonts w:cs="Arial"/>
          <w:szCs w:val="24"/>
        </w:rPr>
        <w:t>/</w:t>
      </w:r>
      <w:r w:rsidR="00D37287">
        <w:rPr>
          <w:rFonts w:cs="Arial"/>
          <w:szCs w:val="24"/>
        </w:rPr>
        <w:t>20</w:t>
      </w:r>
      <w:r w:rsidR="009C5270">
        <w:rPr>
          <w:rFonts w:cs="Arial"/>
          <w:szCs w:val="24"/>
        </w:rPr>
        <w:t xml:space="preserve"> </w:t>
      </w:r>
      <w:r w:rsidR="0034441B">
        <w:rPr>
          <w:rFonts w:cs="Arial"/>
          <w:szCs w:val="24"/>
        </w:rPr>
        <w:t xml:space="preserve">per m2 of footpath = </w:t>
      </w:r>
      <w:r w:rsidR="000C41E5">
        <w:rPr>
          <w:rFonts w:cs="Arial"/>
          <w:szCs w:val="24"/>
        </w:rPr>
        <w:t>$0.</w:t>
      </w:r>
      <w:r w:rsidR="00373FE9">
        <w:rPr>
          <w:rFonts w:cs="Arial"/>
          <w:szCs w:val="24"/>
        </w:rPr>
        <w:t>62</w:t>
      </w:r>
    </w:p>
    <w:p w14:paraId="784B321F" w14:textId="77777777" w:rsidR="0030090B" w:rsidRPr="00445D4E" w:rsidRDefault="0030090B" w:rsidP="00A06614">
      <w:pPr>
        <w:pStyle w:val="BodyText"/>
        <w:numPr>
          <w:ilvl w:val="0"/>
          <w:numId w:val="14"/>
        </w:numPr>
        <w:spacing w:before="240"/>
        <w:ind w:right="375"/>
        <w:rPr>
          <w:rFonts w:cs="Arial"/>
          <w:szCs w:val="24"/>
        </w:rPr>
      </w:pPr>
      <w:r w:rsidRPr="00445D4E">
        <w:rPr>
          <w:rFonts w:cs="Arial"/>
          <w:szCs w:val="24"/>
        </w:rPr>
        <w:t xml:space="preserve">Taking into consideration total m² of growth per year as in </w:t>
      </w:r>
      <w:r w:rsidR="00E72F07">
        <w:rPr>
          <w:rFonts w:cs="Arial"/>
          <w:szCs w:val="24"/>
        </w:rPr>
        <w:t xml:space="preserve">Graph 4.4 </w:t>
      </w:r>
      <w:r w:rsidR="00E72F07" w:rsidRPr="00445D4E">
        <w:rPr>
          <w:rFonts w:cs="Arial"/>
          <w:szCs w:val="24"/>
        </w:rPr>
        <w:t>the</w:t>
      </w:r>
      <w:r w:rsidRPr="00445D4E">
        <w:rPr>
          <w:rFonts w:cs="Arial"/>
          <w:szCs w:val="24"/>
        </w:rPr>
        <w:t xml:space="preserve"> average increase in maintenance per year for the next 10 years is forecast to be </w:t>
      </w:r>
      <w:r w:rsidR="00BA361A" w:rsidRPr="00445D4E">
        <w:rPr>
          <w:rFonts w:cs="Arial"/>
          <w:szCs w:val="24"/>
        </w:rPr>
        <w:t>$</w:t>
      </w:r>
      <w:r w:rsidR="00E72F07">
        <w:rPr>
          <w:rFonts w:cs="Arial"/>
          <w:szCs w:val="24"/>
        </w:rPr>
        <w:t>11</w:t>
      </w:r>
      <w:r w:rsidR="00445D4E">
        <w:rPr>
          <w:rFonts w:cs="Arial"/>
          <w:szCs w:val="24"/>
        </w:rPr>
        <w:t>,</w:t>
      </w:r>
      <w:r w:rsidR="00E72F07">
        <w:rPr>
          <w:rFonts w:cs="Arial"/>
          <w:szCs w:val="24"/>
        </w:rPr>
        <w:t>648</w:t>
      </w:r>
      <w:r w:rsidR="009C5270" w:rsidRPr="00445D4E">
        <w:rPr>
          <w:rFonts w:cs="Arial"/>
          <w:szCs w:val="24"/>
        </w:rPr>
        <w:t xml:space="preserve"> </w:t>
      </w:r>
      <w:r w:rsidRPr="00445D4E">
        <w:rPr>
          <w:rFonts w:cs="Arial"/>
          <w:szCs w:val="24"/>
        </w:rPr>
        <w:t>per year.</w:t>
      </w:r>
    </w:p>
    <w:p w14:paraId="77CECDE3" w14:textId="77777777" w:rsidR="0091031F" w:rsidRPr="00445D4E" w:rsidRDefault="0030090B" w:rsidP="00A06614">
      <w:pPr>
        <w:pStyle w:val="BodyText"/>
        <w:numPr>
          <w:ilvl w:val="0"/>
          <w:numId w:val="14"/>
        </w:numPr>
        <w:spacing w:before="240"/>
        <w:ind w:right="375"/>
        <w:rPr>
          <w:rFonts w:cs="Arial"/>
          <w:szCs w:val="24"/>
        </w:rPr>
      </w:pPr>
      <w:r w:rsidRPr="00445D4E">
        <w:rPr>
          <w:rFonts w:cs="Arial"/>
          <w:szCs w:val="24"/>
        </w:rPr>
        <w:t xml:space="preserve">Therefore by </w:t>
      </w:r>
      <w:r w:rsidR="00BA361A" w:rsidRPr="00445D4E">
        <w:rPr>
          <w:rFonts w:cs="Arial"/>
          <w:szCs w:val="24"/>
        </w:rPr>
        <w:t>2</w:t>
      </w:r>
      <w:r w:rsidR="00445D4E">
        <w:rPr>
          <w:rFonts w:cs="Arial"/>
          <w:szCs w:val="24"/>
        </w:rPr>
        <w:t>9</w:t>
      </w:r>
      <w:r w:rsidR="00BA361A" w:rsidRPr="00445D4E">
        <w:rPr>
          <w:rFonts w:cs="Arial"/>
          <w:szCs w:val="24"/>
        </w:rPr>
        <w:t>/</w:t>
      </w:r>
      <w:r w:rsidR="00445D4E">
        <w:rPr>
          <w:rFonts w:cs="Arial"/>
          <w:szCs w:val="24"/>
        </w:rPr>
        <w:t>30</w:t>
      </w:r>
      <w:r w:rsidRPr="00445D4E">
        <w:rPr>
          <w:rFonts w:cs="Arial"/>
          <w:szCs w:val="24"/>
        </w:rPr>
        <w:t xml:space="preserve"> operations and maintenance expenditure is expected to be approximately </w:t>
      </w:r>
      <w:r w:rsidR="00BA361A" w:rsidRPr="00445D4E">
        <w:rPr>
          <w:rFonts w:cs="Arial"/>
          <w:szCs w:val="24"/>
        </w:rPr>
        <w:t>$1,</w:t>
      </w:r>
      <w:r w:rsidR="00445D4E">
        <w:rPr>
          <w:rFonts w:cs="Arial"/>
          <w:szCs w:val="24"/>
        </w:rPr>
        <w:t>4</w:t>
      </w:r>
      <w:r w:rsidR="00820AF9">
        <w:rPr>
          <w:rFonts w:cs="Arial"/>
          <w:szCs w:val="24"/>
        </w:rPr>
        <w:t>59</w:t>
      </w:r>
      <w:r w:rsidR="00BA361A" w:rsidRPr="00445D4E">
        <w:rPr>
          <w:rFonts w:cs="Arial"/>
          <w:szCs w:val="24"/>
        </w:rPr>
        <w:t>,</w:t>
      </w:r>
      <w:r w:rsidR="00445D4E">
        <w:rPr>
          <w:rFonts w:cs="Arial"/>
          <w:szCs w:val="24"/>
        </w:rPr>
        <w:t>8</w:t>
      </w:r>
      <w:r w:rsidR="00820AF9">
        <w:rPr>
          <w:rFonts w:cs="Arial"/>
          <w:szCs w:val="24"/>
        </w:rPr>
        <w:t>0</w:t>
      </w:r>
      <w:r w:rsidR="00BA361A" w:rsidRPr="00445D4E">
        <w:rPr>
          <w:rFonts w:cs="Arial"/>
          <w:szCs w:val="24"/>
        </w:rPr>
        <w:t>9</w:t>
      </w:r>
      <w:r w:rsidR="006A65EA">
        <w:rPr>
          <w:rFonts w:cs="Arial"/>
          <w:szCs w:val="24"/>
        </w:rPr>
        <w:t xml:space="preserve"> </w:t>
      </w:r>
      <w:r w:rsidRPr="00445D4E">
        <w:rPr>
          <w:rFonts w:cs="Arial"/>
          <w:szCs w:val="24"/>
        </w:rPr>
        <w:t xml:space="preserve">per year including a </w:t>
      </w:r>
      <w:r w:rsidR="009C5270" w:rsidRPr="00445D4E">
        <w:rPr>
          <w:rFonts w:cs="Arial"/>
          <w:szCs w:val="24"/>
        </w:rPr>
        <w:t>2</w:t>
      </w:r>
      <w:r w:rsidRPr="00445D4E">
        <w:rPr>
          <w:rFonts w:cs="Arial"/>
          <w:szCs w:val="24"/>
        </w:rPr>
        <w:t>% CPI increase per year forward.</w:t>
      </w:r>
    </w:p>
    <w:p w14:paraId="53BD7CC4" w14:textId="77777777" w:rsidR="00456B5D" w:rsidRPr="006F08FA" w:rsidRDefault="00456B5D" w:rsidP="00456B5D">
      <w:pPr>
        <w:pStyle w:val="Heading3"/>
        <w:ind w:right="375"/>
        <w:rPr>
          <w:color w:val="0070C0"/>
          <w:szCs w:val="24"/>
        </w:rPr>
      </w:pPr>
      <w:bookmarkStart w:id="35" w:name="_Toc56419074"/>
      <w:r w:rsidRPr="006F08FA">
        <w:rPr>
          <w:color w:val="0070C0"/>
          <w:szCs w:val="24"/>
        </w:rPr>
        <w:t>5.2.2</w:t>
      </w:r>
      <w:r w:rsidRPr="006F08FA">
        <w:rPr>
          <w:color w:val="0070C0"/>
          <w:szCs w:val="24"/>
        </w:rPr>
        <w:tab/>
        <w:t>Standards and specifications</w:t>
      </w:r>
      <w:bookmarkEnd w:id="35"/>
    </w:p>
    <w:p w14:paraId="27685C6C" w14:textId="77777777" w:rsidR="00456B5D" w:rsidRDefault="00456B5D" w:rsidP="00456B5D">
      <w:r w:rsidRPr="00EA0A8F">
        <w:t xml:space="preserve">Maintenance, renewals and upgrade work are carried out in accordance with </w:t>
      </w:r>
      <w:r w:rsidR="00032DB0" w:rsidRPr="003F0B9B">
        <w:rPr>
          <w:szCs w:val="24"/>
        </w:rPr>
        <w:t>Standards and Spe</w:t>
      </w:r>
      <w:r w:rsidR="00032DB0">
        <w:rPr>
          <w:szCs w:val="24"/>
        </w:rPr>
        <w:t xml:space="preserve">cifications listed in Appendix </w:t>
      </w:r>
      <w:r w:rsidR="00AF50FB">
        <w:rPr>
          <w:szCs w:val="24"/>
        </w:rPr>
        <w:t>E</w:t>
      </w:r>
      <w:r w:rsidRPr="00EA0A8F">
        <w:t>.</w:t>
      </w:r>
    </w:p>
    <w:p w14:paraId="69AE6051" w14:textId="77777777" w:rsidR="000E3B9E" w:rsidRPr="00EA6639" w:rsidRDefault="000E3B9E" w:rsidP="00140CAE">
      <w:pPr>
        <w:pStyle w:val="Heading2"/>
      </w:pPr>
      <w:bookmarkStart w:id="36" w:name="_Toc56419075"/>
      <w:r w:rsidRPr="00EA6639">
        <w:t>5.</w:t>
      </w:r>
      <w:r w:rsidR="0030090B">
        <w:t>3</w:t>
      </w:r>
      <w:r w:rsidRPr="00EA6639">
        <w:tab/>
        <w:t>Renewal</w:t>
      </w:r>
      <w:r w:rsidR="00EC7BA7">
        <w:t xml:space="preserve"> and </w:t>
      </w:r>
      <w:r w:rsidRPr="00EA6639">
        <w:t>Replacement Plan</w:t>
      </w:r>
      <w:bookmarkEnd w:id="36"/>
    </w:p>
    <w:p w14:paraId="61B1EF65" w14:textId="77777777" w:rsidR="000E3B9E" w:rsidRPr="00EA6639" w:rsidRDefault="000E3B9E" w:rsidP="00AD53DA">
      <w:pPr>
        <w:pStyle w:val="BodyText"/>
        <w:spacing w:after="120"/>
        <w:ind w:right="375"/>
        <w:rPr>
          <w:rFonts w:cs="Arial"/>
          <w:szCs w:val="24"/>
        </w:rPr>
      </w:pPr>
      <w:r w:rsidRPr="00EA6639">
        <w:rPr>
          <w:rFonts w:cs="Arial"/>
          <w:szCs w:val="24"/>
        </w:rPr>
        <w:t xml:space="preserve">Renewal expenditure is major work which does not increase the asset’s design capacity but restores, rehabilitates, replaces or renews an existing asset to its original service potential.  </w:t>
      </w:r>
    </w:p>
    <w:p w14:paraId="0239EC15" w14:textId="77777777" w:rsidR="004C2EE5" w:rsidRPr="006F08FA" w:rsidRDefault="0030090B" w:rsidP="00AD53DA">
      <w:pPr>
        <w:pStyle w:val="Heading3"/>
        <w:ind w:right="375"/>
        <w:rPr>
          <w:color w:val="0070C0"/>
          <w:szCs w:val="24"/>
        </w:rPr>
      </w:pPr>
      <w:bookmarkStart w:id="37" w:name="_Toc56419076"/>
      <w:r w:rsidRPr="006F08FA">
        <w:rPr>
          <w:color w:val="0070C0"/>
          <w:szCs w:val="24"/>
        </w:rPr>
        <w:t>5.3.1</w:t>
      </w:r>
      <w:r w:rsidR="00E84104" w:rsidRPr="006F08FA">
        <w:rPr>
          <w:color w:val="0070C0"/>
          <w:szCs w:val="24"/>
        </w:rPr>
        <w:tab/>
      </w:r>
      <w:r w:rsidR="004C2EE5" w:rsidRPr="006F08FA">
        <w:rPr>
          <w:color w:val="0070C0"/>
          <w:szCs w:val="24"/>
        </w:rPr>
        <w:t>Renewal plan</w:t>
      </w:r>
      <w:r w:rsidR="00E84104" w:rsidRPr="006F08FA">
        <w:rPr>
          <w:color w:val="0070C0"/>
          <w:szCs w:val="24"/>
        </w:rPr>
        <w:t xml:space="preserve"> - Footpaths</w:t>
      </w:r>
      <w:bookmarkEnd w:id="37"/>
    </w:p>
    <w:p w14:paraId="032294CF" w14:textId="77777777" w:rsidR="0040726B" w:rsidRPr="00EA6639" w:rsidRDefault="0040726B" w:rsidP="00AD53DA">
      <w:pPr>
        <w:pStyle w:val="BodyText"/>
        <w:ind w:right="375"/>
        <w:rPr>
          <w:rFonts w:cs="Arial"/>
          <w:szCs w:val="24"/>
        </w:rPr>
      </w:pPr>
      <w:r w:rsidRPr="00EA6639">
        <w:rPr>
          <w:rFonts w:cs="Arial"/>
          <w:szCs w:val="24"/>
        </w:rPr>
        <w:t>The City’s footpath network is in an excel</w:t>
      </w:r>
      <w:r w:rsidR="00104151">
        <w:rPr>
          <w:rFonts w:cs="Arial"/>
          <w:szCs w:val="24"/>
        </w:rPr>
        <w:t xml:space="preserve">lent condition with </w:t>
      </w:r>
      <w:r w:rsidR="00FF455C">
        <w:rPr>
          <w:rFonts w:cs="Arial"/>
          <w:szCs w:val="24"/>
        </w:rPr>
        <w:t>73</w:t>
      </w:r>
      <w:r w:rsidR="008C78EA">
        <w:rPr>
          <w:rFonts w:cs="Arial"/>
          <w:szCs w:val="24"/>
        </w:rPr>
        <w:t>%</w:t>
      </w:r>
      <w:r w:rsidR="00FF455C">
        <w:rPr>
          <w:rFonts w:cs="Arial"/>
          <w:szCs w:val="24"/>
        </w:rPr>
        <w:t xml:space="preserve"> </w:t>
      </w:r>
      <w:r w:rsidRPr="00EA6639">
        <w:rPr>
          <w:rFonts w:cs="Arial"/>
          <w:szCs w:val="24"/>
        </w:rPr>
        <w:t>of the footpaths currently rated as either a condition 1 or 2. Two key parameters were established to enable the creation of the footpath renewal plan:</w:t>
      </w:r>
    </w:p>
    <w:p w14:paraId="60B37F00" w14:textId="77777777" w:rsidR="0040726B" w:rsidRPr="00EA6639" w:rsidRDefault="0040726B" w:rsidP="00375695">
      <w:pPr>
        <w:pStyle w:val="BodyText"/>
        <w:numPr>
          <w:ilvl w:val="0"/>
          <w:numId w:val="8"/>
        </w:numPr>
        <w:spacing w:after="120"/>
        <w:ind w:right="375"/>
        <w:jc w:val="left"/>
        <w:rPr>
          <w:rFonts w:cs="Arial"/>
          <w:szCs w:val="24"/>
        </w:rPr>
      </w:pPr>
      <w:r w:rsidRPr="00EA6639">
        <w:rPr>
          <w:rFonts w:cs="Arial"/>
          <w:szCs w:val="24"/>
        </w:rPr>
        <w:t>T</w:t>
      </w:r>
      <w:r w:rsidR="00EA310D">
        <w:rPr>
          <w:rFonts w:cs="Arial"/>
          <w:szCs w:val="24"/>
        </w:rPr>
        <w:t xml:space="preserve">here are </w:t>
      </w:r>
      <w:r w:rsidR="00FF455C">
        <w:rPr>
          <w:rFonts w:cs="Arial"/>
          <w:szCs w:val="24"/>
        </w:rPr>
        <w:t>6.8</w:t>
      </w:r>
      <w:r w:rsidR="008C78EA">
        <w:rPr>
          <w:rFonts w:cs="Arial"/>
          <w:szCs w:val="24"/>
        </w:rPr>
        <w:t>%</w:t>
      </w:r>
      <w:r w:rsidR="00FF455C">
        <w:rPr>
          <w:rFonts w:cs="Arial"/>
          <w:szCs w:val="24"/>
        </w:rPr>
        <w:t xml:space="preserve"> </w:t>
      </w:r>
      <w:r w:rsidRPr="00EA6639">
        <w:rPr>
          <w:rFonts w:cs="Arial"/>
          <w:szCs w:val="24"/>
        </w:rPr>
        <w:t>of footpaths that are currently at the intervention level of condition 4.</w:t>
      </w:r>
    </w:p>
    <w:p w14:paraId="611BFD82" w14:textId="77777777" w:rsidR="0023472B" w:rsidRDefault="008871E4" w:rsidP="00375695">
      <w:pPr>
        <w:pStyle w:val="BodyText"/>
        <w:numPr>
          <w:ilvl w:val="0"/>
          <w:numId w:val="8"/>
        </w:numPr>
        <w:ind w:right="375"/>
        <w:jc w:val="left"/>
        <w:rPr>
          <w:rFonts w:cs="Arial"/>
          <w:szCs w:val="24"/>
        </w:rPr>
      </w:pPr>
      <w:r w:rsidRPr="00EA6639">
        <w:rPr>
          <w:rFonts w:cs="Arial"/>
          <w:szCs w:val="24"/>
        </w:rPr>
        <w:t xml:space="preserve">There are </w:t>
      </w:r>
      <w:r w:rsidR="008C78EA">
        <w:rPr>
          <w:rFonts w:cs="Arial"/>
          <w:szCs w:val="24"/>
        </w:rPr>
        <w:t>1</w:t>
      </w:r>
      <w:r w:rsidR="00FF455C">
        <w:rPr>
          <w:rFonts w:cs="Arial"/>
          <w:szCs w:val="24"/>
        </w:rPr>
        <w:t>0</w:t>
      </w:r>
      <w:r w:rsidR="006E52F5">
        <w:rPr>
          <w:rFonts w:cs="Arial"/>
          <w:szCs w:val="24"/>
        </w:rPr>
        <w:t>%</w:t>
      </w:r>
      <w:r w:rsidR="00FF455C">
        <w:rPr>
          <w:rFonts w:cs="Arial"/>
          <w:szCs w:val="24"/>
        </w:rPr>
        <w:t xml:space="preserve"> </w:t>
      </w:r>
      <w:r w:rsidR="004C2EE5" w:rsidRPr="00EA6639">
        <w:rPr>
          <w:rFonts w:cs="Arial"/>
          <w:szCs w:val="24"/>
        </w:rPr>
        <w:t xml:space="preserve">of footpaths </w:t>
      </w:r>
      <w:r w:rsidRPr="00EA6639">
        <w:rPr>
          <w:rFonts w:cs="Arial"/>
          <w:szCs w:val="24"/>
        </w:rPr>
        <w:t xml:space="preserve">that </w:t>
      </w:r>
      <w:r w:rsidR="004C2EE5" w:rsidRPr="00EA6639">
        <w:rPr>
          <w:rFonts w:cs="Arial"/>
          <w:szCs w:val="24"/>
        </w:rPr>
        <w:t xml:space="preserve">do not </w:t>
      </w:r>
      <w:r w:rsidRPr="00EA6639">
        <w:rPr>
          <w:rFonts w:cs="Arial"/>
          <w:szCs w:val="24"/>
        </w:rPr>
        <w:t xml:space="preserve">currently </w:t>
      </w:r>
      <w:r w:rsidR="004C2EE5" w:rsidRPr="00EA6639">
        <w:rPr>
          <w:rFonts w:cs="Arial"/>
          <w:szCs w:val="24"/>
        </w:rPr>
        <w:t xml:space="preserve">meet the desired </w:t>
      </w:r>
      <w:r w:rsidR="00B36F66" w:rsidRPr="00EA6639">
        <w:rPr>
          <w:rFonts w:cs="Arial"/>
          <w:szCs w:val="24"/>
        </w:rPr>
        <w:t xml:space="preserve">service </w:t>
      </w:r>
      <w:r w:rsidR="004C2EE5" w:rsidRPr="00EA6639">
        <w:rPr>
          <w:rFonts w:cs="Arial"/>
          <w:szCs w:val="24"/>
        </w:rPr>
        <w:t>level of</w:t>
      </w:r>
      <w:r w:rsidR="0040726B" w:rsidRPr="00EA6639">
        <w:rPr>
          <w:rFonts w:cs="Arial"/>
          <w:szCs w:val="24"/>
        </w:rPr>
        <w:t xml:space="preserve"> a minimum width of 1.5m</w:t>
      </w:r>
      <w:r w:rsidR="00FB4F23">
        <w:rPr>
          <w:rFonts w:cs="Arial"/>
          <w:szCs w:val="24"/>
        </w:rPr>
        <w:t xml:space="preserve">. </w:t>
      </w:r>
    </w:p>
    <w:p w14:paraId="09D9469C" w14:textId="77777777" w:rsidR="00472B90" w:rsidRDefault="006C3DAD" w:rsidP="0026613B">
      <w:pPr>
        <w:pStyle w:val="BodyText"/>
        <w:ind w:right="375"/>
        <w:jc w:val="left"/>
        <w:rPr>
          <w:rFonts w:cs="Arial"/>
          <w:szCs w:val="24"/>
        </w:rPr>
      </w:pPr>
      <w:r w:rsidRPr="00B73643">
        <w:rPr>
          <w:rFonts w:cs="Arial"/>
          <w:szCs w:val="24"/>
        </w:rPr>
        <w:lastRenderedPageBreak/>
        <w:t>These form</w:t>
      </w:r>
      <w:r w:rsidR="0023472B" w:rsidRPr="00B73643">
        <w:rPr>
          <w:rFonts w:cs="Arial"/>
          <w:szCs w:val="24"/>
        </w:rPr>
        <w:t xml:space="preserve"> the basis of the </w:t>
      </w:r>
      <w:r w:rsidR="00A371BD">
        <w:rPr>
          <w:rFonts w:cs="Arial"/>
          <w:szCs w:val="24"/>
        </w:rPr>
        <w:t>10 year renewal works program</w:t>
      </w:r>
      <w:r w:rsidR="00CF5779">
        <w:rPr>
          <w:rFonts w:cs="Arial"/>
          <w:szCs w:val="24"/>
        </w:rPr>
        <w:t xml:space="preserve"> presented in Graph 5.3.1</w:t>
      </w:r>
      <w:r w:rsidR="0023472B" w:rsidRPr="00B73643">
        <w:rPr>
          <w:rFonts w:cs="Arial"/>
          <w:szCs w:val="24"/>
        </w:rPr>
        <w:t xml:space="preserve">. </w:t>
      </w:r>
      <w:r w:rsidR="00472B90" w:rsidRPr="00EA6639">
        <w:rPr>
          <w:rFonts w:cs="Arial"/>
          <w:szCs w:val="24"/>
        </w:rPr>
        <w:t xml:space="preserve">Renewals are </w:t>
      </w:r>
      <w:r w:rsidR="002B3990">
        <w:rPr>
          <w:rFonts w:cs="Arial"/>
          <w:szCs w:val="24"/>
        </w:rPr>
        <w:t xml:space="preserve">incorporated into </w:t>
      </w:r>
      <w:r w:rsidR="00041A83">
        <w:rPr>
          <w:rFonts w:cs="Arial"/>
          <w:szCs w:val="24"/>
        </w:rPr>
        <w:t xml:space="preserve">the </w:t>
      </w:r>
      <w:r w:rsidR="00041A83" w:rsidRPr="00EA6639">
        <w:rPr>
          <w:rFonts w:cs="Arial"/>
          <w:szCs w:val="24"/>
        </w:rPr>
        <w:t>City’s</w:t>
      </w:r>
      <w:r w:rsidR="00472B90" w:rsidRPr="00EA6639">
        <w:rPr>
          <w:rFonts w:cs="Arial"/>
          <w:szCs w:val="24"/>
        </w:rPr>
        <w:t xml:space="preserve"> capital works program</w:t>
      </w:r>
      <w:r w:rsidR="00FE2907">
        <w:rPr>
          <w:rFonts w:cs="Arial"/>
          <w:szCs w:val="24"/>
        </w:rPr>
        <w:t>.</w:t>
      </w:r>
      <w:r w:rsidR="000373D6">
        <w:rPr>
          <w:rFonts w:cs="Arial"/>
          <w:szCs w:val="24"/>
        </w:rPr>
        <w:t xml:space="preserve"> Renewals are to be funded from the City of Cockburn’s capital works program and gran</w:t>
      </w:r>
      <w:r w:rsidR="005A7D08">
        <w:rPr>
          <w:rFonts w:cs="Arial"/>
          <w:szCs w:val="24"/>
        </w:rPr>
        <w:t>t</w:t>
      </w:r>
      <w:r w:rsidR="000373D6">
        <w:rPr>
          <w:rFonts w:cs="Arial"/>
          <w:szCs w:val="24"/>
        </w:rPr>
        <w:t xml:space="preserve">s where available. </w:t>
      </w:r>
      <w:r w:rsidR="00472B90" w:rsidRPr="00EA6639">
        <w:rPr>
          <w:rFonts w:cs="Arial"/>
          <w:szCs w:val="24"/>
        </w:rPr>
        <w:t>This is f</w:t>
      </w:r>
      <w:r w:rsidR="00472B90">
        <w:rPr>
          <w:rFonts w:cs="Arial"/>
          <w:szCs w:val="24"/>
        </w:rPr>
        <w:t xml:space="preserve">urther </w:t>
      </w:r>
      <w:r w:rsidR="00FE2907">
        <w:rPr>
          <w:rFonts w:cs="Arial"/>
          <w:szCs w:val="24"/>
        </w:rPr>
        <w:t xml:space="preserve">explored </w:t>
      </w:r>
      <w:r w:rsidR="00041A83">
        <w:rPr>
          <w:rFonts w:cs="Arial"/>
          <w:szCs w:val="24"/>
        </w:rPr>
        <w:t>in Section</w:t>
      </w:r>
      <w:r w:rsidR="00472B90">
        <w:rPr>
          <w:rFonts w:cs="Arial"/>
          <w:szCs w:val="24"/>
        </w:rPr>
        <w:t xml:space="preserve"> 6</w:t>
      </w:r>
      <w:r w:rsidR="00FE2907">
        <w:rPr>
          <w:rFonts w:cs="Arial"/>
          <w:szCs w:val="24"/>
        </w:rPr>
        <w:t>.2.</w:t>
      </w:r>
    </w:p>
    <w:p w14:paraId="6F76951A" w14:textId="77777777" w:rsidR="008871E4" w:rsidRPr="006F08FA" w:rsidRDefault="0032397E" w:rsidP="001D3BE2">
      <w:pPr>
        <w:spacing w:after="0"/>
        <w:jc w:val="left"/>
        <w:rPr>
          <w:b/>
          <w:color w:val="0070C0"/>
          <w:szCs w:val="22"/>
        </w:rPr>
      </w:pPr>
      <w:r w:rsidRPr="006F08FA">
        <w:rPr>
          <w:b/>
          <w:color w:val="0070C0"/>
          <w:szCs w:val="22"/>
        </w:rPr>
        <w:t>Graph 5.3.1</w:t>
      </w:r>
      <w:r w:rsidR="0040726B" w:rsidRPr="006F08FA">
        <w:rPr>
          <w:b/>
          <w:color w:val="0070C0"/>
          <w:szCs w:val="22"/>
        </w:rPr>
        <w:tab/>
        <w:t>Projected renew</w:t>
      </w:r>
      <w:r w:rsidR="008871E4" w:rsidRPr="006F08FA">
        <w:rPr>
          <w:b/>
          <w:color w:val="0070C0"/>
          <w:szCs w:val="22"/>
        </w:rPr>
        <w:t xml:space="preserve">als </w:t>
      </w:r>
      <w:r w:rsidR="0084179D" w:rsidRPr="006F08FA">
        <w:rPr>
          <w:b/>
          <w:color w:val="0070C0"/>
          <w:szCs w:val="22"/>
        </w:rPr>
        <w:t>- Footpaths</w:t>
      </w:r>
    </w:p>
    <w:p w14:paraId="3342FCC2" w14:textId="77777777" w:rsidR="00B0366D" w:rsidRPr="00EA6639" w:rsidRDefault="00F122DA" w:rsidP="00AD53DA">
      <w:pPr>
        <w:pStyle w:val="BodyText"/>
        <w:spacing w:before="120"/>
        <w:ind w:right="375"/>
        <w:jc w:val="left"/>
        <w:rPr>
          <w:rFonts w:cs="Arial"/>
          <w:b/>
          <w:i/>
          <w:color w:val="0070C0"/>
          <w:szCs w:val="24"/>
        </w:rPr>
      </w:pPr>
      <w:r>
        <w:rPr>
          <w:noProof/>
          <w:lang w:eastAsia="en-AU"/>
        </w:rPr>
        <w:drawing>
          <wp:inline distT="0" distB="0" distL="0" distR="0" wp14:anchorId="0960318C" wp14:editId="4A59793D">
            <wp:extent cx="5943600" cy="3932555"/>
            <wp:effectExtent l="0" t="0" r="19050"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E77120" w14:textId="77777777" w:rsidR="00D134B8" w:rsidRPr="00EA6639" w:rsidRDefault="0047799E" w:rsidP="00140CAE">
      <w:pPr>
        <w:pStyle w:val="Heading2"/>
      </w:pPr>
      <w:bookmarkStart w:id="38" w:name="_Toc56419077"/>
      <w:r>
        <w:t>5.</w:t>
      </w:r>
      <w:r w:rsidR="00E26C57">
        <w:t>4</w:t>
      </w:r>
      <w:r>
        <w:tab/>
        <w:t xml:space="preserve">New </w:t>
      </w:r>
      <w:r w:rsidR="007D0080">
        <w:t xml:space="preserve">and </w:t>
      </w:r>
      <w:r w:rsidR="00D134B8" w:rsidRPr="00EA6639">
        <w:t>Upgrade Plan</w:t>
      </w:r>
      <w:bookmarkEnd w:id="38"/>
    </w:p>
    <w:p w14:paraId="316D1BF8" w14:textId="3524BDEC" w:rsidR="00D134B8" w:rsidRPr="00EA6639" w:rsidRDefault="00D134B8" w:rsidP="00AD3EE2">
      <w:pPr>
        <w:pStyle w:val="BodyText"/>
        <w:ind w:right="375"/>
        <w:rPr>
          <w:rFonts w:cs="Arial"/>
          <w:szCs w:val="24"/>
        </w:rPr>
      </w:pPr>
      <w:r w:rsidRPr="00EA6639">
        <w:rPr>
          <w:rFonts w:cs="Arial"/>
          <w:szCs w:val="24"/>
        </w:rPr>
        <w:t xml:space="preserve">New works are those works that create a new asset that did not previously </w:t>
      </w:r>
      <w:proofErr w:type="gramStart"/>
      <w:r w:rsidRPr="00EA6639">
        <w:rPr>
          <w:rFonts w:cs="Arial"/>
          <w:szCs w:val="24"/>
        </w:rPr>
        <w:t>exist, or</w:t>
      </w:r>
      <w:proofErr w:type="gramEnd"/>
      <w:r w:rsidRPr="00EA6639">
        <w:rPr>
          <w:rFonts w:cs="Arial"/>
          <w:szCs w:val="24"/>
        </w:rPr>
        <w:t xml:space="preserve"> works which upgrade or improve an existing asset beyond its existing capacity.  They may result from growth, social or environmental needs. Assets may also be acquired at no cost to the Council from land devel</w:t>
      </w:r>
      <w:r w:rsidR="00B74FEF">
        <w:rPr>
          <w:rFonts w:cs="Arial"/>
          <w:szCs w:val="24"/>
        </w:rPr>
        <w:t>opment</w:t>
      </w:r>
      <w:r w:rsidR="006F08FA">
        <w:rPr>
          <w:rFonts w:cs="Arial"/>
          <w:szCs w:val="24"/>
        </w:rPr>
        <w:t>, t</w:t>
      </w:r>
      <w:r w:rsidR="00B74FEF">
        <w:rPr>
          <w:rFonts w:cs="Arial"/>
          <w:szCs w:val="24"/>
        </w:rPr>
        <w:t xml:space="preserve">hese assets are detailed in Section 4.4 </w:t>
      </w:r>
      <w:r w:rsidRPr="00EA6639">
        <w:rPr>
          <w:rFonts w:cs="Arial"/>
          <w:szCs w:val="24"/>
        </w:rPr>
        <w:t xml:space="preserve">and shown on </w:t>
      </w:r>
      <w:r w:rsidR="009A3162">
        <w:rPr>
          <w:rFonts w:cs="Arial"/>
          <w:szCs w:val="24"/>
        </w:rPr>
        <w:t>Graph 4.4</w:t>
      </w:r>
      <w:r w:rsidRPr="00EA6639">
        <w:rPr>
          <w:rFonts w:cs="Arial"/>
          <w:szCs w:val="24"/>
        </w:rPr>
        <w:t>.</w:t>
      </w:r>
      <w:r w:rsidR="00DB0B18">
        <w:rPr>
          <w:rFonts w:cs="Arial"/>
          <w:szCs w:val="24"/>
        </w:rPr>
        <w:t xml:space="preserve"> </w:t>
      </w:r>
    </w:p>
    <w:p w14:paraId="41D6C9B8" w14:textId="77777777" w:rsidR="00D134B8" w:rsidRPr="006F08FA" w:rsidRDefault="00E26C57" w:rsidP="00AD53DA">
      <w:pPr>
        <w:pStyle w:val="Heading3"/>
        <w:spacing w:after="120"/>
        <w:ind w:right="375"/>
        <w:jc w:val="left"/>
        <w:rPr>
          <w:color w:val="0070C0"/>
          <w:szCs w:val="24"/>
        </w:rPr>
      </w:pPr>
      <w:bookmarkStart w:id="39" w:name="_Toc56419078"/>
      <w:r w:rsidRPr="006F08FA">
        <w:rPr>
          <w:color w:val="0070C0"/>
          <w:szCs w:val="24"/>
        </w:rPr>
        <w:t>5.4</w:t>
      </w:r>
      <w:r w:rsidR="00603BE4" w:rsidRPr="006F08FA">
        <w:rPr>
          <w:color w:val="0070C0"/>
          <w:szCs w:val="24"/>
        </w:rPr>
        <w:t>.1</w:t>
      </w:r>
      <w:r w:rsidR="00D134B8" w:rsidRPr="006F08FA">
        <w:rPr>
          <w:color w:val="0070C0"/>
          <w:szCs w:val="24"/>
        </w:rPr>
        <w:tab/>
        <w:t>Summary of future upgrade/new assets expenditure</w:t>
      </w:r>
      <w:bookmarkEnd w:id="39"/>
    </w:p>
    <w:p w14:paraId="68055C67" w14:textId="77777777" w:rsidR="00593FAA" w:rsidRDefault="004159F4" w:rsidP="004159F4">
      <w:pPr>
        <w:pStyle w:val="BodyText"/>
        <w:rPr>
          <w:rFonts w:cs="Arial"/>
          <w:szCs w:val="24"/>
        </w:rPr>
      </w:pPr>
      <w:r>
        <w:rPr>
          <w:rFonts w:cs="Arial"/>
          <w:szCs w:val="24"/>
        </w:rPr>
        <w:t xml:space="preserve">Appendix C provides the new footpaths to be constructed for 2020/21 and future new path </w:t>
      </w:r>
      <w:r w:rsidR="00C370AC">
        <w:rPr>
          <w:rFonts w:cs="Arial"/>
          <w:szCs w:val="24"/>
        </w:rPr>
        <w:t>requirements will</w:t>
      </w:r>
      <w:r>
        <w:rPr>
          <w:rFonts w:cs="Arial"/>
          <w:szCs w:val="24"/>
        </w:rPr>
        <w:t xml:space="preserve"> be </w:t>
      </w:r>
      <w:r w:rsidR="0010640F">
        <w:rPr>
          <w:rFonts w:cs="Arial"/>
          <w:szCs w:val="24"/>
        </w:rPr>
        <w:t>updated</w:t>
      </w:r>
      <w:r>
        <w:rPr>
          <w:rFonts w:cs="Arial"/>
          <w:szCs w:val="24"/>
        </w:rPr>
        <w:t xml:space="preserve"> from this year</w:t>
      </w:r>
      <w:r w:rsidR="00892929">
        <w:rPr>
          <w:rFonts w:cs="Arial"/>
          <w:szCs w:val="24"/>
        </w:rPr>
        <w:t>s</w:t>
      </w:r>
      <w:r w:rsidR="00F709EE">
        <w:rPr>
          <w:rFonts w:cs="Arial"/>
          <w:szCs w:val="24"/>
        </w:rPr>
        <w:t>’</w:t>
      </w:r>
      <w:r>
        <w:rPr>
          <w:rFonts w:cs="Arial"/>
          <w:szCs w:val="24"/>
        </w:rPr>
        <w:t xml:space="preserve"> review of City’s Cycling and </w:t>
      </w:r>
      <w:r w:rsidR="0084179D">
        <w:rPr>
          <w:rFonts w:cs="Arial"/>
          <w:szCs w:val="24"/>
        </w:rPr>
        <w:t>W</w:t>
      </w:r>
      <w:r w:rsidR="003711F9">
        <w:rPr>
          <w:rFonts w:cs="Arial"/>
          <w:szCs w:val="24"/>
        </w:rPr>
        <w:t>alking</w:t>
      </w:r>
      <w:r w:rsidR="0084179D">
        <w:rPr>
          <w:rFonts w:cs="Arial"/>
          <w:szCs w:val="24"/>
        </w:rPr>
        <w:t xml:space="preserve"> Network P</w:t>
      </w:r>
      <w:r>
        <w:rPr>
          <w:rFonts w:cs="Arial"/>
          <w:szCs w:val="24"/>
        </w:rPr>
        <w:t>lan</w:t>
      </w:r>
      <w:r w:rsidR="00892929">
        <w:rPr>
          <w:rFonts w:cs="Arial"/>
          <w:szCs w:val="24"/>
        </w:rPr>
        <w:t>. F</w:t>
      </w:r>
      <w:r w:rsidR="0010640F">
        <w:rPr>
          <w:rFonts w:cs="Arial"/>
          <w:szCs w:val="24"/>
        </w:rPr>
        <w:t>or this review a budget is allocated</w:t>
      </w:r>
      <w:r w:rsidR="00892929">
        <w:rPr>
          <w:rFonts w:cs="Arial"/>
          <w:szCs w:val="24"/>
        </w:rPr>
        <w:t xml:space="preserve"> based</w:t>
      </w:r>
      <w:r w:rsidR="0010640F">
        <w:rPr>
          <w:rFonts w:cs="Arial"/>
          <w:szCs w:val="24"/>
        </w:rPr>
        <w:t xml:space="preserve"> on </w:t>
      </w:r>
      <w:proofErr w:type="gramStart"/>
      <w:r w:rsidR="0010640F">
        <w:rPr>
          <w:rFonts w:cs="Arial"/>
          <w:szCs w:val="24"/>
        </w:rPr>
        <w:t xml:space="preserve">this </w:t>
      </w:r>
      <w:proofErr w:type="spellStart"/>
      <w:r w:rsidR="0010640F">
        <w:rPr>
          <w:rFonts w:cs="Arial"/>
          <w:szCs w:val="24"/>
        </w:rPr>
        <w:t>year</w:t>
      </w:r>
      <w:r w:rsidR="00892929">
        <w:rPr>
          <w:rFonts w:cs="Arial"/>
          <w:szCs w:val="24"/>
        </w:rPr>
        <w:t>s</w:t>
      </w:r>
      <w:proofErr w:type="spellEnd"/>
      <w:proofErr w:type="gramEnd"/>
      <w:r w:rsidR="0010640F">
        <w:rPr>
          <w:rFonts w:cs="Arial"/>
          <w:szCs w:val="24"/>
        </w:rPr>
        <w:t xml:space="preserve"> budget</w:t>
      </w:r>
      <w:r>
        <w:rPr>
          <w:rFonts w:cs="Arial"/>
          <w:szCs w:val="24"/>
        </w:rPr>
        <w:t xml:space="preserve">. </w:t>
      </w:r>
      <w:r w:rsidR="00440DF2">
        <w:rPr>
          <w:rFonts w:cs="Arial"/>
          <w:szCs w:val="24"/>
        </w:rPr>
        <w:t xml:space="preserve">For </w:t>
      </w:r>
      <w:r w:rsidR="00245E16">
        <w:rPr>
          <w:rFonts w:cs="Arial"/>
          <w:szCs w:val="24"/>
        </w:rPr>
        <w:t xml:space="preserve">the purpose of </w:t>
      </w:r>
      <w:r w:rsidR="00440DF2">
        <w:rPr>
          <w:rFonts w:cs="Arial"/>
          <w:szCs w:val="24"/>
        </w:rPr>
        <w:t>this FAMP</w:t>
      </w:r>
      <w:r w:rsidR="00892929">
        <w:rPr>
          <w:rFonts w:cs="Arial"/>
          <w:szCs w:val="24"/>
        </w:rPr>
        <w:t>,</w:t>
      </w:r>
      <w:r w:rsidR="00440DF2">
        <w:rPr>
          <w:rFonts w:cs="Arial"/>
          <w:szCs w:val="24"/>
        </w:rPr>
        <w:t xml:space="preserve"> capital expenditure for</w:t>
      </w:r>
      <w:r w:rsidR="0084179D">
        <w:rPr>
          <w:rFonts w:cs="Arial"/>
          <w:szCs w:val="24"/>
        </w:rPr>
        <w:t xml:space="preserve"> the next 1</w:t>
      </w:r>
      <w:r w:rsidR="00892929">
        <w:rPr>
          <w:rFonts w:cs="Arial"/>
          <w:szCs w:val="24"/>
        </w:rPr>
        <w:t xml:space="preserve">0 year is calculated based on </w:t>
      </w:r>
      <w:proofErr w:type="spellStart"/>
      <w:proofErr w:type="gramStart"/>
      <w:r w:rsidR="00892929">
        <w:rPr>
          <w:rFonts w:cs="Arial"/>
          <w:szCs w:val="24"/>
        </w:rPr>
        <w:t>a</w:t>
      </w:r>
      <w:proofErr w:type="spellEnd"/>
      <w:proofErr w:type="gramEnd"/>
      <w:r w:rsidR="0084179D">
        <w:rPr>
          <w:rFonts w:cs="Arial"/>
          <w:szCs w:val="24"/>
        </w:rPr>
        <w:t xml:space="preserve"> average of</w:t>
      </w:r>
      <w:r w:rsidR="00892929">
        <w:rPr>
          <w:rFonts w:cs="Arial"/>
          <w:szCs w:val="24"/>
        </w:rPr>
        <w:t xml:space="preserve"> the previous</w:t>
      </w:r>
      <w:r w:rsidR="0084179D">
        <w:rPr>
          <w:rFonts w:cs="Arial"/>
          <w:szCs w:val="24"/>
        </w:rPr>
        <w:t xml:space="preserve"> 2</w:t>
      </w:r>
      <w:r w:rsidR="00440DF2">
        <w:rPr>
          <w:rFonts w:cs="Arial"/>
          <w:szCs w:val="24"/>
        </w:rPr>
        <w:t xml:space="preserve"> year</w:t>
      </w:r>
      <w:r w:rsidR="00245E16">
        <w:rPr>
          <w:rFonts w:cs="Arial"/>
          <w:szCs w:val="24"/>
        </w:rPr>
        <w:t>s</w:t>
      </w:r>
      <w:r w:rsidR="0084179D">
        <w:rPr>
          <w:rFonts w:cs="Arial"/>
          <w:szCs w:val="24"/>
        </w:rPr>
        <w:t xml:space="preserve"> </w:t>
      </w:r>
      <w:r w:rsidR="00440DF2">
        <w:rPr>
          <w:rFonts w:cs="Arial"/>
          <w:szCs w:val="24"/>
        </w:rPr>
        <w:t>spending. It is assumed</w:t>
      </w:r>
      <w:r w:rsidR="0084179D">
        <w:rPr>
          <w:rFonts w:cs="Arial"/>
          <w:szCs w:val="24"/>
        </w:rPr>
        <w:t xml:space="preserve"> that</w:t>
      </w:r>
      <w:r w:rsidR="00440DF2">
        <w:rPr>
          <w:rFonts w:cs="Arial"/>
          <w:szCs w:val="24"/>
        </w:rPr>
        <w:t xml:space="preserve"> new footpaths </w:t>
      </w:r>
      <w:r w:rsidR="0084179D">
        <w:rPr>
          <w:rFonts w:cs="Arial"/>
          <w:szCs w:val="24"/>
        </w:rPr>
        <w:t xml:space="preserve">are </w:t>
      </w:r>
      <w:r w:rsidR="00440DF2">
        <w:rPr>
          <w:rFonts w:cs="Arial"/>
          <w:szCs w:val="24"/>
        </w:rPr>
        <w:t>to be constructed from grants and</w:t>
      </w:r>
      <w:r w:rsidR="0084179D">
        <w:rPr>
          <w:rFonts w:cs="Arial"/>
          <w:szCs w:val="24"/>
        </w:rPr>
        <w:t xml:space="preserve"> the</w:t>
      </w:r>
      <w:r w:rsidR="00440DF2">
        <w:rPr>
          <w:rFonts w:cs="Arial"/>
          <w:szCs w:val="24"/>
        </w:rPr>
        <w:t xml:space="preserve"> City’s</w:t>
      </w:r>
      <w:r w:rsidR="00245E16">
        <w:rPr>
          <w:rFonts w:cs="Arial"/>
          <w:szCs w:val="24"/>
        </w:rPr>
        <w:t xml:space="preserve"> own</w:t>
      </w:r>
      <w:r w:rsidR="00440DF2">
        <w:rPr>
          <w:rFonts w:cs="Arial"/>
          <w:szCs w:val="24"/>
        </w:rPr>
        <w:t xml:space="preserve"> </w:t>
      </w:r>
      <w:r w:rsidR="00245E16">
        <w:rPr>
          <w:rFonts w:cs="Arial"/>
          <w:szCs w:val="24"/>
        </w:rPr>
        <w:t>funds</w:t>
      </w:r>
      <w:r w:rsidR="00892929">
        <w:rPr>
          <w:rFonts w:cs="Arial"/>
          <w:szCs w:val="24"/>
        </w:rPr>
        <w:t xml:space="preserve"> and</w:t>
      </w:r>
      <w:r w:rsidR="00245E16">
        <w:rPr>
          <w:rFonts w:cs="Arial"/>
          <w:szCs w:val="24"/>
        </w:rPr>
        <w:t xml:space="preserve"> </w:t>
      </w:r>
      <w:r w:rsidR="0084179D">
        <w:rPr>
          <w:rFonts w:cs="Arial"/>
          <w:szCs w:val="24"/>
        </w:rPr>
        <w:t xml:space="preserve">will </w:t>
      </w:r>
      <w:r w:rsidR="00440DF2">
        <w:rPr>
          <w:rFonts w:cs="Arial"/>
          <w:szCs w:val="24"/>
        </w:rPr>
        <w:t xml:space="preserve">be in line with this projection.  </w:t>
      </w:r>
    </w:p>
    <w:p w14:paraId="30B6BCFA" w14:textId="77777777" w:rsidR="00363480" w:rsidRPr="00EA6639" w:rsidRDefault="004159F4" w:rsidP="00140CAE">
      <w:pPr>
        <w:pStyle w:val="Heading2"/>
      </w:pPr>
      <w:r>
        <w:lastRenderedPageBreak/>
        <w:t xml:space="preserve"> </w:t>
      </w:r>
      <w:bookmarkStart w:id="40" w:name="_Toc56419079"/>
      <w:r w:rsidR="005708F5" w:rsidRPr="00EA6639">
        <w:t>5</w:t>
      </w:r>
      <w:r w:rsidR="00363480" w:rsidRPr="00EA6639">
        <w:t>.</w:t>
      </w:r>
      <w:r w:rsidR="00E26C57">
        <w:t>5</w:t>
      </w:r>
      <w:r w:rsidR="00363480" w:rsidRPr="00EA6639">
        <w:tab/>
        <w:t>Disposal Plan</w:t>
      </w:r>
      <w:bookmarkEnd w:id="40"/>
    </w:p>
    <w:p w14:paraId="6D7C8953" w14:textId="77777777" w:rsidR="00CB7B10" w:rsidRPr="00F122DA" w:rsidRDefault="00F23FBF" w:rsidP="00F122DA">
      <w:pPr>
        <w:pStyle w:val="BodyText"/>
        <w:ind w:right="375"/>
        <w:rPr>
          <w:rFonts w:cs="Arial"/>
          <w:szCs w:val="24"/>
        </w:rPr>
      </w:pPr>
      <w:r w:rsidRPr="00EA6639">
        <w:rPr>
          <w:rFonts w:cs="Arial"/>
          <w:szCs w:val="24"/>
        </w:rPr>
        <w:t>Disposal i</w:t>
      </w:r>
      <w:r w:rsidR="00B94BDE" w:rsidRPr="00EA6639">
        <w:rPr>
          <w:rFonts w:cs="Arial"/>
          <w:szCs w:val="24"/>
        </w:rPr>
        <w:t>ncludes</w:t>
      </w:r>
      <w:r w:rsidRPr="00EA6639">
        <w:rPr>
          <w:rFonts w:cs="Arial"/>
          <w:szCs w:val="24"/>
        </w:rPr>
        <w:t xml:space="preserve"> any activity associated with disposal of a decommissioned asset including sale, demolition or relocation. </w:t>
      </w:r>
      <w:r w:rsidR="00B5364F" w:rsidRPr="00EA6639">
        <w:rPr>
          <w:rFonts w:cs="Arial"/>
          <w:szCs w:val="24"/>
        </w:rPr>
        <w:t xml:space="preserve"> </w:t>
      </w:r>
      <w:r w:rsidR="00E233F9" w:rsidRPr="00EA6639">
        <w:rPr>
          <w:rFonts w:cs="Arial"/>
          <w:szCs w:val="24"/>
        </w:rPr>
        <w:t xml:space="preserve">There are no disposals planned for any </w:t>
      </w:r>
      <w:r w:rsidR="00CE6D8E">
        <w:rPr>
          <w:rFonts w:cs="Arial"/>
          <w:szCs w:val="24"/>
        </w:rPr>
        <w:t>Footpath</w:t>
      </w:r>
      <w:r w:rsidR="00E233F9" w:rsidRPr="00EA6639">
        <w:rPr>
          <w:rFonts w:cs="Arial"/>
          <w:szCs w:val="24"/>
        </w:rPr>
        <w:t xml:space="preserve"> </w:t>
      </w:r>
      <w:r w:rsidR="0095532B" w:rsidRPr="00EA6639">
        <w:rPr>
          <w:rFonts w:cs="Arial"/>
          <w:szCs w:val="24"/>
        </w:rPr>
        <w:t xml:space="preserve">assets </w:t>
      </w:r>
      <w:r w:rsidR="00E233F9" w:rsidRPr="00EA6639">
        <w:rPr>
          <w:rFonts w:cs="Arial"/>
          <w:szCs w:val="24"/>
        </w:rPr>
        <w:t>at this time</w:t>
      </w:r>
      <w:r w:rsidR="00EA0388" w:rsidRPr="00EA6639">
        <w:rPr>
          <w:rFonts w:cs="Arial"/>
          <w:szCs w:val="24"/>
        </w:rPr>
        <w:t>.</w:t>
      </w:r>
      <w:r w:rsidR="00CB7B10">
        <w:br w:type="page"/>
      </w:r>
    </w:p>
    <w:p w14:paraId="5DAD326E" w14:textId="198EB4A6" w:rsidR="00363480" w:rsidRPr="006F08FA" w:rsidRDefault="005708F5" w:rsidP="00780183">
      <w:pPr>
        <w:pStyle w:val="Heading1"/>
        <w:rPr>
          <w:color w:val="0070C0"/>
        </w:rPr>
      </w:pPr>
      <w:bookmarkStart w:id="41" w:name="_Toc56419080"/>
      <w:bookmarkStart w:id="42" w:name="OLE_LINK1"/>
      <w:bookmarkStart w:id="43" w:name="OLE_LINK2"/>
      <w:r w:rsidRPr="006F08FA">
        <w:rPr>
          <w:color w:val="0070C0"/>
        </w:rPr>
        <w:lastRenderedPageBreak/>
        <w:t>6</w:t>
      </w:r>
      <w:r w:rsidR="00363480" w:rsidRPr="006F08FA">
        <w:rPr>
          <w:color w:val="0070C0"/>
        </w:rPr>
        <w:t>.</w:t>
      </w:r>
      <w:r w:rsidR="00363480" w:rsidRPr="006F08FA">
        <w:rPr>
          <w:color w:val="0070C0"/>
        </w:rPr>
        <w:tab/>
      </w:r>
      <w:r w:rsidR="006F08FA" w:rsidRPr="006F08FA">
        <w:rPr>
          <w:color w:val="0070C0"/>
        </w:rPr>
        <w:t>Financial Analysis</w:t>
      </w:r>
      <w:bookmarkEnd w:id="41"/>
      <w:r w:rsidR="006F08FA" w:rsidRPr="006F08FA">
        <w:rPr>
          <w:color w:val="0070C0"/>
        </w:rPr>
        <w:t xml:space="preserve"> </w:t>
      </w:r>
    </w:p>
    <w:bookmarkEnd w:id="42"/>
    <w:bookmarkEnd w:id="43"/>
    <w:p w14:paraId="58749AC6" w14:textId="77777777" w:rsidR="002418A4" w:rsidRPr="002418A4" w:rsidRDefault="002418A4" w:rsidP="004416F3">
      <w:pPr>
        <w:rPr>
          <w:szCs w:val="24"/>
        </w:rPr>
      </w:pPr>
      <w:r w:rsidRPr="00EA0A8F">
        <w:rPr>
          <w:szCs w:val="24"/>
        </w:rPr>
        <w:t>The Financial Analysis section of this report provides the recommended financial forecasts for the next 10 years. This section brings together the various types of expenditure described throughout the previous sections of the AMP and provides recommended budgets for Council to achieve the appropriate level of service through Municipal funding.</w:t>
      </w:r>
    </w:p>
    <w:p w14:paraId="0C627E97" w14:textId="77777777" w:rsidR="002418A4" w:rsidRPr="00EA0A8F" w:rsidRDefault="002418A4" w:rsidP="00140CAE">
      <w:pPr>
        <w:pStyle w:val="Heading2"/>
      </w:pPr>
      <w:bookmarkStart w:id="44" w:name="_Toc35600129"/>
      <w:bookmarkStart w:id="45" w:name="_Toc39487733"/>
      <w:bookmarkStart w:id="46" w:name="_Toc56419081"/>
      <w:r w:rsidRPr="00EA0A8F">
        <w:t>6.1</w:t>
      </w:r>
      <w:r w:rsidRPr="00EA0A8F">
        <w:tab/>
        <w:t>Financial Statements and Projections</w:t>
      </w:r>
      <w:bookmarkEnd w:id="44"/>
      <w:bookmarkEnd w:id="45"/>
      <w:bookmarkEnd w:id="46"/>
    </w:p>
    <w:p w14:paraId="399F2678" w14:textId="219A8030" w:rsidR="002418A4" w:rsidRDefault="002418A4" w:rsidP="002418A4">
      <w:pPr>
        <w:pStyle w:val="BodyText"/>
        <w:spacing w:after="360"/>
        <w:rPr>
          <w:szCs w:val="24"/>
        </w:rPr>
      </w:pPr>
      <w:r w:rsidRPr="00EA0A8F">
        <w:rPr>
          <w:szCs w:val="24"/>
        </w:rPr>
        <w:t>From the financial asset register, the value of assets as covered by this asset management pla</w:t>
      </w:r>
      <w:r w:rsidR="00A56514">
        <w:rPr>
          <w:szCs w:val="24"/>
        </w:rPr>
        <w:t xml:space="preserve">n are summarised in Table 6.1.1. </w:t>
      </w:r>
      <w:r w:rsidRPr="00EA0A8F">
        <w:rPr>
          <w:szCs w:val="24"/>
        </w:rPr>
        <w:t>The current replacement cost, fair value (also known as written down value or depreciated replacement cost), depreciation and the annual depreciation values are shown.</w:t>
      </w:r>
      <w:r w:rsidR="00B352B6">
        <w:rPr>
          <w:szCs w:val="24"/>
        </w:rPr>
        <w:t xml:space="preserve"> Footpath infrastructure was last revalued in June </w:t>
      </w:r>
      <w:proofErr w:type="gramStart"/>
      <w:r w:rsidR="00B352B6">
        <w:rPr>
          <w:szCs w:val="24"/>
        </w:rPr>
        <w:t>2020  in</w:t>
      </w:r>
      <w:proofErr w:type="gramEnd"/>
      <w:r w:rsidR="00B352B6">
        <w:rPr>
          <w:szCs w:val="24"/>
        </w:rPr>
        <w:t xml:space="preserve"> line with the City’s revaluation process, these figures have been used throughout the AMP.</w:t>
      </w:r>
    </w:p>
    <w:p w14:paraId="2993AB9A" w14:textId="77777777" w:rsidR="00E50305" w:rsidRPr="006F08FA" w:rsidRDefault="00E50305" w:rsidP="00616E47">
      <w:pPr>
        <w:keepNext/>
        <w:rPr>
          <w:b/>
          <w:iCs/>
          <w:color w:val="0070C0"/>
          <w:szCs w:val="22"/>
        </w:rPr>
      </w:pPr>
      <w:r w:rsidRPr="006F08FA">
        <w:rPr>
          <w:b/>
          <w:iCs/>
          <w:color w:val="0070C0"/>
          <w:szCs w:val="22"/>
        </w:rPr>
        <w:t>Table 6.1.1</w:t>
      </w:r>
      <w:r w:rsidRPr="006F08FA">
        <w:rPr>
          <w:b/>
          <w:iCs/>
          <w:color w:val="0070C0"/>
          <w:szCs w:val="22"/>
        </w:rPr>
        <w:tab/>
        <w:t>Current Replacement Cost and Depreciation</w:t>
      </w:r>
    </w:p>
    <w:tbl>
      <w:tblPr>
        <w:tblW w:w="5000" w:type="pct"/>
        <w:tblLook w:val="04A0" w:firstRow="1" w:lastRow="0" w:firstColumn="1" w:lastColumn="0" w:noHBand="0" w:noVBand="1"/>
      </w:tblPr>
      <w:tblGrid>
        <w:gridCol w:w="1950"/>
        <w:gridCol w:w="2298"/>
        <w:gridCol w:w="1805"/>
        <w:gridCol w:w="1805"/>
        <w:gridCol w:w="1805"/>
      </w:tblGrid>
      <w:tr w:rsidR="00F03CE8" w:rsidRPr="00F03CE8" w14:paraId="7488FEEB" w14:textId="77777777" w:rsidTr="004C64C9">
        <w:trPr>
          <w:trHeight w:val="600"/>
        </w:trPr>
        <w:tc>
          <w:tcPr>
            <w:tcW w:w="1009" w:type="pct"/>
            <w:vMerge w:val="restart"/>
            <w:tcBorders>
              <w:top w:val="single" w:sz="8" w:space="0" w:color="auto"/>
              <w:left w:val="single" w:sz="8" w:space="0" w:color="auto"/>
              <w:bottom w:val="single" w:sz="12" w:space="0" w:color="FFFFFF"/>
              <w:right w:val="single" w:sz="8" w:space="0" w:color="FFFFFF"/>
            </w:tcBorders>
            <w:shd w:val="clear" w:color="000000" w:fill="4BACC6"/>
            <w:vAlign w:val="center"/>
            <w:hideMark/>
          </w:tcPr>
          <w:p w14:paraId="212AFCE7"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Jurisdiction</w:t>
            </w:r>
          </w:p>
        </w:tc>
        <w:tc>
          <w:tcPr>
            <w:tcW w:w="1189" w:type="pct"/>
            <w:vMerge w:val="restart"/>
            <w:tcBorders>
              <w:top w:val="single" w:sz="8" w:space="0" w:color="auto"/>
              <w:left w:val="single" w:sz="8" w:space="0" w:color="FFFFFF"/>
              <w:bottom w:val="single" w:sz="12" w:space="0" w:color="FFFFFF"/>
              <w:right w:val="single" w:sz="8" w:space="0" w:color="FFFFFF"/>
            </w:tcBorders>
            <w:shd w:val="clear" w:color="000000" w:fill="4BACC6"/>
            <w:vAlign w:val="center"/>
            <w:hideMark/>
          </w:tcPr>
          <w:p w14:paraId="0934E81D"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Current Replacement Cost</w:t>
            </w:r>
          </w:p>
        </w:tc>
        <w:tc>
          <w:tcPr>
            <w:tcW w:w="934" w:type="pct"/>
            <w:tcBorders>
              <w:top w:val="single" w:sz="8" w:space="0" w:color="auto"/>
              <w:left w:val="nil"/>
              <w:bottom w:val="single" w:sz="8" w:space="0" w:color="FFFFFF"/>
              <w:right w:val="single" w:sz="8" w:space="0" w:color="FFFFFF"/>
            </w:tcBorders>
            <w:shd w:val="clear" w:color="000000" w:fill="4BACC6"/>
            <w:vAlign w:val="center"/>
            <w:hideMark/>
          </w:tcPr>
          <w:p w14:paraId="4DB94ADE"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Depreciated Replacement Cost</w:t>
            </w:r>
          </w:p>
        </w:tc>
        <w:tc>
          <w:tcPr>
            <w:tcW w:w="934" w:type="pct"/>
            <w:vMerge w:val="restart"/>
            <w:tcBorders>
              <w:top w:val="single" w:sz="8" w:space="0" w:color="auto"/>
              <w:left w:val="single" w:sz="8" w:space="0" w:color="FFFFFF"/>
              <w:bottom w:val="single" w:sz="12" w:space="0" w:color="FFFFFF"/>
              <w:right w:val="single" w:sz="8" w:space="0" w:color="FFFFFF"/>
            </w:tcBorders>
            <w:shd w:val="clear" w:color="000000" w:fill="4BACC6"/>
            <w:vAlign w:val="center"/>
            <w:hideMark/>
          </w:tcPr>
          <w:p w14:paraId="587A188A"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Annual Depreciation Expense</w:t>
            </w:r>
          </w:p>
        </w:tc>
        <w:tc>
          <w:tcPr>
            <w:tcW w:w="934" w:type="pct"/>
            <w:vMerge w:val="restart"/>
            <w:tcBorders>
              <w:top w:val="single" w:sz="8" w:space="0" w:color="auto"/>
              <w:left w:val="single" w:sz="8" w:space="0" w:color="FFFFFF"/>
              <w:bottom w:val="single" w:sz="12" w:space="0" w:color="FFFFFF"/>
              <w:right w:val="single" w:sz="8" w:space="0" w:color="auto"/>
            </w:tcBorders>
            <w:shd w:val="clear" w:color="000000" w:fill="4BACC6"/>
            <w:vAlign w:val="center"/>
            <w:hideMark/>
          </w:tcPr>
          <w:p w14:paraId="5F0C4391"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Annual Asset Consumption</w:t>
            </w:r>
          </w:p>
        </w:tc>
      </w:tr>
      <w:tr w:rsidR="00F03CE8" w:rsidRPr="00F03CE8" w14:paraId="64C08782" w14:textId="77777777" w:rsidTr="004C64C9">
        <w:trPr>
          <w:trHeight w:val="600"/>
        </w:trPr>
        <w:tc>
          <w:tcPr>
            <w:tcW w:w="1009" w:type="pct"/>
            <w:vMerge/>
            <w:tcBorders>
              <w:top w:val="single" w:sz="12" w:space="0" w:color="FFFFFF"/>
              <w:left w:val="single" w:sz="8" w:space="0" w:color="auto"/>
              <w:bottom w:val="thinThickSmallGap" w:sz="24" w:space="0" w:color="auto"/>
              <w:right w:val="single" w:sz="8" w:space="0" w:color="FFFFFF"/>
            </w:tcBorders>
            <w:vAlign w:val="center"/>
            <w:hideMark/>
          </w:tcPr>
          <w:p w14:paraId="46A87721" w14:textId="77777777" w:rsidR="00F03CE8" w:rsidRPr="00F03CE8" w:rsidRDefault="00F03CE8" w:rsidP="00F03CE8">
            <w:pPr>
              <w:spacing w:after="0"/>
              <w:jc w:val="left"/>
              <w:rPr>
                <w:rFonts w:ascii="Arial Narrow" w:hAnsi="Arial Narrow"/>
                <w:color w:val="FFFFFF"/>
                <w:szCs w:val="24"/>
                <w:lang w:eastAsia="en-AU"/>
              </w:rPr>
            </w:pPr>
          </w:p>
        </w:tc>
        <w:tc>
          <w:tcPr>
            <w:tcW w:w="1189" w:type="pct"/>
            <w:vMerge/>
            <w:tcBorders>
              <w:top w:val="single" w:sz="12" w:space="0" w:color="FFFFFF"/>
              <w:left w:val="single" w:sz="8" w:space="0" w:color="FFFFFF"/>
              <w:bottom w:val="thinThickSmallGap" w:sz="24" w:space="0" w:color="auto"/>
              <w:right w:val="single" w:sz="8" w:space="0" w:color="FFFFFF"/>
            </w:tcBorders>
            <w:vAlign w:val="center"/>
            <w:hideMark/>
          </w:tcPr>
          <w:p w14:paraId="47EF0D45" w14:textId="77777777" w:rsidR="00F03CE8" w:rsidRPr="00F03CE8" w:rsidRDefault="00F03CE8" w:rsidP="00F03CE8">
            <w:pPr>
              <w:spacing w:after="0"/>
              <w:jc w:val="left"/>
              <w:rPr>
                <w:rFonts w:ascii="Arial Narrow" w:hAnsi="Arial Narrow"/>
                <w:color w:val="FFFFFF"/>
                <w:szCs w:val="24"/>
                <w:lang w:eastAsia="en-AU"/>
              </w:rPr>
            </w:pPr>
          </w:p>
        </w:tc>
        <w:tc>
          <w:tcPr>
            <w:tcW w:w="934" w:type="pct"/>
            <w:tcBorders>
              <w:top w:val="single" w:sz="8" w:space="0" w:color="FFFFFF"/>
              <w:left w:val="nil"/>
              <w:bottom w:val="thinThickSmallGap" w:sz="24" w:space="0" w:color="auto"/>
              <w:right w:val="single" w:sz="8" w:space="0" w:color="FFFFFF"/>
            </w:tcBorders>
            <w:shd w:val="clear" w:color="000000" w:fill="4BACC6"/>
            <w:hideMark/>
          </w:tcPr>
          <w:p w14:paraId="38DCF991"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(Fair Value)</w:t>
            </w:r>
          </w:p>
        </w:tc>
        <w:tc>
          <w:tcPr>
            <w:tcW w:w="934" w:type="pct"/>
            <w:vMerge/>
            <w:tcBorders>
              <w:top w:val="single" w:sz="12" w:space="0" w:color="FFFFFF"/>
              <w:left w:val="single" w:sz="8" w:space="0" w:color="FFFFFF"/>
              <w:bottom w:val="thinThickSmallGap" w:sz="24" w:space="0" w:color="auto"/>
              <w:right w:val="single" w:sz="8" w:space="0" w:color="FFFFFF"/>
            </w:tcBorders>
            <w:vAlign w:val="center"/>
            <w:hideMark/>
          </w:tcPr>
          <w:p w14:paraId="105EFFED" w14:textId="77777777" w:rsidR="00F03CE8" w:rsidRPr="00F03CE8" w:rsidRDefault="00F03CE8" w:rsidP="00F03CE8">
            <w:pPr>
              <w:spacing w:after="0"/>
              <w:jc w:val="left"/>
              <w:rPr>
                <w:rFonts w:ascii="Arial Narrow" w:hAnsi="Arial Narrow"/>
                <w:color w:val="FFFFFF"/>
                <w:szCs w:val="24"/>
                <w:lang w:eastAsia="en-AU"/>
              </w:rPr>
            </w:pPr>
          </w:p>
        </w:tc>
        <w:tc>
          <w:tcPr>
            <w:tcW w:w="934" w:type="pct"/>
            <w:vMerge/>
            <w:tcBorders>
              <w:top w:val="single" w:sz="12" w:space="0" w:color="FFFFFF"/>
              <w:left w:val="single" w:sz="8" w:space="0" w:color="FFFFFF"/>
              <w:bottom w:val="thinThickSmallGap" w:sz="24" w:space="0" w:color="auto"/>
              <w:right w:val="single" w:sz="8" w:space="0" w:color="auto"/>
            </w:tcBorders>
            <w:vAlign w:val="center"/>
            <w:hideMark/>
          </w:tcPr>
          <w:p w14:paraId="278CEF2E" w14:textId="77777777" w:rsidR="00F03CE8" w:rsidRPr="00F03CE8" w:rsidRDefault="00F03CE8" w:rsidP="00F03CE8">
            <w:pPr>
              <w:spacing w:after="0"/>
              <w:jc w:val="left"/>
              <w:rPr>
                <w:rFonts w:ascii="Arial Narrow" w:hAnsi="Arial Narrow"/>
                <w:color w:val="FFFFFF"/>
                <w:szCs w:val="24"/>
                <w:lang w:eastAsia="en-AU"/>
              </w:rPr>
            </w:pPr>
          </w:p>
        </w:tc>
      </w:tr>
      <w:tr w:rsidR="00F03CE8" w:rsidRPr="00F03CE8" w14:paraId="06483A52" w14:textId="77777777" w:rsidTr="004C64C9">
        <w:trPr>
          <w:trHeight w:val="600"/>
        </w:trPr>
        <w:tc>
          <w:tcPr>
            <w:tcW w:w="1009" w:type="pct"/>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491B7139"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Parks</w:t>
            </w:r>
          </w:p>
        </w:tc>
        <w:tc>
          <w:tcPr>
            <w:tcW w:w="1189" w:type="pct"/>
            <w:tcBorders>
              <w:top w:val="thinThickSmallGap" w:sz="24" w:space="0" w:color="auto"/>
              <w:left w:val="thinThickSmallGap" w:sz="24" w:space="0" w:color="auto"/>
              <w:bottom w:val="single" w:sz="8" w:space="0" w:color="FFFFFF"/>
              <w:right w:val="single" w:sz="8" w:space="0" w:color="FFFFFF"/>
            </w:tcBorders>
            <w:shd w:val="clear" w:color="000000" w:fill="B6DDE8"/>
            <w:vAlign w:val="center"/>
            <w:hideMark/>
          </w:tcPr>
          <w:p w14:paraId="3CD3803C"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$11,759,012</w:t>
            </w:r>
          </w:p>
        </w:tc>
        <w:tc>
          <w:tcPr>
            <w:tcW w:w="934" w:type="pct"/>
            <w:tcBorders>
              <w:top w:val="thinThickSmallGap" w:sz="24" w:space="0" w:color="auto"/>
              <w:left w:val="nil"/>
              <w:bottom w:val="single" w:sz="8" w:space="0" w:color="FFFFFF"/>
              <w:right w:val="single" w:sz="8" w:space="0" w:color="FFFFFF"/>
            </w:tcBorders>
            <w:shd w:val="clear" w:color="000000" w:fill="B6DDE8"/>
            <w:vAlign w:val="center"/>
            <w:hideMark/>
          </w:tcPr>
          <w:p w14:paraId="18EB4030"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$8,043,989</w:t>
            </w:r>
          </w:p>
        </w:tc>
        <w:tc>
          <w:tcPr>
            <w:tcW w:w="934" w:type="pct"/>
            <w:tcBorders>
              <w:top w:val="thinThickSmallGap" w:sz="24" w:space="0" w:color="auto"/>
              <w:left w:val="nil"/>
              <w:bottom w:val="single" w:sz="8" w:space="0" w:color="FFFFFF"/>
              <w:right w:val="single" w:sz="8" w:space="0" w:color="FFFFFF"/>
            </w:tcBorders>
            <w:shd w:val="clear" w:color="000000" w:fill="B6DDE8"/>
            <w:vAlign w:val="center"/>
            <w:hideMark/>
          </w:tcPr>
          <w:p w14:paraId="140A225E"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$260,175</w:t>
            </w:r>
          </w:p>
        </w:tc>
        <w:tc>
          <w:tcPr>
            <w:tcW w:w="934" w:type="pct"/>
            <w:tcBorders>
              <w:top w:val="thinThickSmallGap" w:sz="24" w:space="0" w:color="auto"/>
              <w:left w:val="nil"/>
              <w:bottom w:val="single" w:sz="8" w:space="0" w:color="FFFFFF"/>
              <w:right w:val="single" w:sz="8" w:space="0" w:color="auto"/>
            </w:tcBorders>
            <w:shd w:val="clear" w:color="000000" w:fill="B6DDE8"/>
            <w:vAlign w:val="center"/>
            <w:hideMark/>
          </w:tcPr>
          <w:p w14:paraId="63D53B13"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2.20%</w:t>
            </w:r>
          </w:p>
        </w:tc>
      </w:tr>
      <w:tr w:rsidR="00F03CE8" w:rsidRPr="00F03CE8" w14:paraId="0694E677" w14:textId="77777777" w:rsidTr="004C64C9">
        <w:trPr>
          <w:trHeight w:val="600"/>
        </w:trPr>
        <w:tc>
          <w:tcPr>
            <w:tcW w:w="1009" w:type="pct"/>
            <w:tcBorders>
              <w:top w:val="nil"/>
              <w:left w:val="single" w:sz="8" w:space="0" w:color="auto"/>
              <w:bottom w:val="single" w:sz="12" w:space="0" w:color="FFFFFF"/>
              <w:right w:val="thinThickSmallGap" w:sz="24" w:space="0" w:color="auto"/>
            </w:tcBorders>
            <w:shd w:val="clear" w:color="000000" w:fill="4BACC6"/>
            <w:vAlign w:val="center"/>
            <w:hideMark/>
          </w:tcPr>
          <w:p w14:paraId="1BF21D47"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Roads</w:t>
            </w:r>
          </w:p>
        </w:tc>
        <w:tc>
          <w:tcPr>
            <w:tcW w:w="1189" w:type="pct"/>
            <w:tcBorders>
              <w:top w:val="nil"/>
              <w:left w:val="thinThickSmallGap" w:sz="24" w:space="0" w:color="auto"/>
              <w:bottom w:val="single" w:sz="12" w:space="0" w:color="FFFFFF"/>
              <w:right w:val="single" w:sz="8" w:space="0" w:color="FFFFFF"/>
            </w:tcBorders>
            <w:shd w:val="clear" w:color="000000" w:fill="DAEEF3"/>
            <w:vAlign w:val="center"/>
            <w:hideMark/>
          </w:tcPr>
          <w:p w14:paraId="3259FD31"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$74,031,333</w:t>
            </w:r>
          </w:p>
        </w:tc>
        <w:tc>
          <w:tcPr>
            <w:tcW w:w="934" w:type="pct"/>
            <w:tcBorders>
              <w:top w:val="nil"/>
              <w:left w:val="nil"/>
              <w:bottom w:val="single" w:sz="12" w:space="0" w:color="FFFFFF"/>
              <w:right w:val="single" w:sz="8" w:space="0" w:color="FFFFFF"/>
            </w:tcBorders>
            <w:shd w:val="clear" w:color="000000" w:fill="DAEEF3"/>
            <w:vAlign w:val="center"/>
            <w:hideMark/>
          </w:tcPr>
          <w:p w14:paraId="415316D2"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$51,828,699</w:t>
            </w:r>
          </w:p>
        </w:tc>
        <w:tc>
          <w:tcPr>
            <w:tcW w:w="934" w:type="pct"/>
            <w:tcBorders>
              <w:top w:val="nil"/>
              <w:left w:val="nil"/>
              <w:bottom w:val="single" w:sz="12" w:space="0" w:color="FFFFFF"/>
              <w:right w:val="single" w:sz="8" w:space="0" w:color="FFFFFF"/>
            </w:tcBorders>
            <w:shd w:val="clear" w:color="000000" w:fill="DAEEF3"/>
            <w:vAlign w:val="center"/>
            <w:hideMark/>
          </w:tcPr>
          <w:p w14:paraId="2B9F3DD9"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$1,510,897</w:t>
            </w:r>
          </w:p>
        </w:tc>
        <w:tc>
          <w:tcPr>
            <w:tcW w:w="934" w:type="pct"/>
            <w:tcBorders>
              <w:top w:val="nil"/>
              <w:left w:val="nil"/>
              <w:bottom w:val="single" w:sz="12" w:space="0" w:color="FFFFFF"/>
              <w:right w:val="single" w:sz="8" w:space="0" w:color="auto"/>
            </w:tcBorders>
            <w:shd w:val="clear" w:color="000000" w:fill="DAEEF3"/>
            <w:vAlign w:val="center"/>
            <w:hideMark/>
          </w:tcPr>
          <w:p w14:paraId="17147338"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2.00%</w:t>
            </w:r>
          </w:p>
        </w:tc>
      </w:tr>
      <w:tr w:rsidR="00F03CE8" w:rsidRPr="00F03CE8" w14:paraId="6AC5FA81" w14:textId="77777777" w:rsidTr="004C64C9">
        <w:trPr>
          <w:trHeight w:val="600"/>
        </w:trPr>
        <w:tc>
          <w:tcPr>
            <w:tcW w:w="1009" w:type="pct"/>
            <w:tcBorders>
              <w:top w:val="nil"/>
              <w:left w:val="single" w:sz="8" w:space="0" w:color="auto"/>
              <w:bottom w:val="single" w:sz="8" w:space="0" w:color="auto"/>
              <w:right w:val="thinThickSmallGap" w:sz="24" w:space="0" w:color="auto"/>
            </w:tcBorders>
            <w:shd w:val="clear" w:color="000000" w:fill="4BACC6"/>
            <w:vAlign w:val="center"/>
            <w:hideMark/>
          </w:tcPr>
          <w:p w14:paraId="195A22C6" w14:textId="77777777" w:rsidR="00F03CE8" w:rsidRPr="00F03CE8" w:rsidRDefault="00F03CE8" w:rsidP="00F03CE8">
            <w:pPr>
              <w:spacing w:after="0"/>
              <w:jc w:val="center"/>
              <w:rPr>
                <w:rFonts w:ascii="Arial Narrow" w:hAnsi="Arial Narrow"/>
                <w:color w:val="FFFFFF"/>
                <w:szCs w:val="24"/>
                <w:lang w:eastAsia="en-AU"/>
              </w:rPr>
            </w:pPr>
            <w:r w:rsidRPr="00F03CE8">
              <w:rPr>
                <w:rFonts w:ascii="Arial Narrow" w:hAnsi="Arial Narrow"/>
                <w:color w:val="FFFFFF"/>
                <w:szCs w:val="24"/>
                <w:lang w:eastAsia="en-AU"/>
              </w:rPr>
              <w:t>Footpath Items</w:t>
            </w:r>
          </w:p>
        </w:tc>
        <w:tc>
          <w:tcPr>
            <w:tcW w:w="1189" w:type="pct"/>
            <w:tcBorders>
              <w:top w:val="nil"/>
              <w:left w:val="thinThickSmallGap" w:sz="24" w:space="0" w:color="auto"/>
              <w:bottom w:val="single" w:sz="8" w:space="0" w:color="auto"/>
              <w:right w:val="single" w:sz="8" w:space="0" w:color="FFFFFF"/>
            </w:tcBorders>
            <w:shd w:val="clear" w:color="000000" w:fill="B7DEE8"/>
            <w:vAlign w:val="center"/>
            <w:hideMark/>
          </w:tcPr>
          <w:p w14:paraId="31F4BA9B"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$2,939,300</w:t>
            </w:r>
          </w:p>
        </w:tc>
        <w:tc>
          <w:tcPr>
            <w:tcW w:w="934" w:type="pct"/>
            <w:tcBorders>
              <w:top w:val="nil"/>
              <w:left w:val="nil"/>
              <w:bottom w:val="single" w:sz="8" w:space="0" w:color="auto"/>
              <w:right w:val="single" w:sz="8" w:space="0" w:color="FFFFFF"/>
            </w:tcBorders>
            <w:shd w:val="clear" w:color="000000" w:fill="B7DEE8"/>
            <w:vAlign w:val="center"/>
            <w:hideMark/>
          </w:tcPr>
          <w:p w14:paraId="14A79A63"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$1,913,784</w:t>
            </w:r>
          </w:p>
        </w:tc>
        <w:tc>
          <w:tcPr>
            <w:tcW w:w="934" w:type="pct"/>
            <w:tcBorders>
              <w:top w:val="nil"/>
              <w:left w:val="nil"/>
              <w:bottom w:val="single" w:sz="8" w:space="0" w:color="auto"/>
              <w:right w:val="single" w:sz="8" w:space="0" w:color="FFFFFF"/>
            </w:tcBorders>
            <w:shd w:val="clear" w:color="000000" w:fill="B7DEE8"/>
            <w:vAlign w:val="center"/>
            <w:hideMark/>
          </w:tcPr>
          <w:p w14:paraId="7CDA85C7"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$146,965</w:t>
            </w:r>
          </w:p>
        </w:tc>
        <w:tc>
          <w:tcPr>
            <w:tcW w:w="934" w:type="pct"/>
            <w:tcBorders>
              <w:top w:val="nil"/>
              <w:left w:val="nil"/>
              <w:bottom w:val="single" w:sz="8" w:space="0" w:color="auto"/>
              <w:right w:val="single" w:sz="8" w:space="0" w:color="auto"/>
            </w:tcBorders>
            <w:shd w:val="clear" w:color="000000" w:fill="B7DEE8"/>
            <w:vAlign w:val="center"/>
            <w:hideMark/>
          </w:tcPr>
          <w:p w14:paraId="664B1DE0" w14:textId="77777777" w:rsidR="00F03CE8" w:rsidRPr="00F03CE8" w:rsidRDefault="00F03CE8" w:rsidP="00F03CE8">
            <w:pPr>
              <w:spacing w:after="0"/>
              <w:jc w:val="center"/>
              <w:rPr>
                <w:rFonts w:ascii="Arial Narrow" w:hAnsi="Arial Narrow"/>
                <w:color w:val="000000"/>
                <w:szCs w:val="24"/>
                <w:lang w:eastAsia="en-AU"/>
              </w:rPr>
            </w:pPr>
            <w:r w:rsidRPr="00F03CE8">
              <w:rPr>
                <w:rFonts w:ascii="Arial Narrow" w:hAnsi="Arial Narrow"/>
                <w:color w:val="000000"/>
                <w:szCs w:val="24"/>
                <w:lang w:eastAsia="en-AU"/>
              </w:rPr>
              <w:t>2</w:t>
            </w:r>
            <w:r w:rsidR="009F1083">
              <w:rPr>
                <w:rFonts w:ascii="Arial Narrow" w:hAnsi="Arial Narrow"/>
                <w:color w:val="000000"/>
                <w:szCs w:val="24"/>
                <w:lang w:eastAsia="en-AU"/>
              </w:rPr>
              <w:t>.00</w:t>
            </w:r>
            <w:r w:rsidRPr="00F03CE8">
              <w:rPr>
                <w:rFonts w:ascii="Arial Narrow" w:hAnsi="Arial Narrow"/>
                <w:color w:val="000000"/>
                <w:szCs w:val="24"/>
                <w:lang w:eastAsia="en-AU"/>
              </w:rPr>
              <w:t>%</w:t>
            </w:r>
          </w:p>
        </w:tc>
      </w:tr>
      <w:tr w:rsidR="004C64C9" w:rsidRPr="004C64C9" w14:paraId="14384D55" w14:textId="77777777" w:rsidTr="004C64C9">
        <w:trPr>
          <w:trHeight w:val="600"/>
        </w:trPr>
        <w:tc>
          <w:tcPr>
            <w:tcW w:w="1009" w:type="pct"/>
            <w:tcBorders>
              <w:top w:val="single" w:sz="8" w:space="0" w:color="auto"/>
              <w:left w:val="single" w:sz="8" w:space="0" w:color="auto"/>
              <w:bottom w:val="single" w:sz="8" w:space="0" w:color="auto"/>
              <w:right w:val="single" w:sz="8" w:space="0" w:color="FFFFFF"/>
            </w:tcBorders>
            <w:shd w:val="clear" w:color="auto" w:fill="auto"/>
            <w:vAlign w:val="center"/>
            <w:hideMark/>
          </w:tcPr>
          <w:p w14:paraId="482828CA" w14:textId="77777777" w:rsidR="00F03CE8" w:rsidRPr="004C64C9" w:rsidRDefault="00F03CE8" w:rsidP="00F03CE8">
            <w:pPr>
              <w:spacing w:after="0"/>
              <w:jc w:val="center"/>
              <w:rPr>
                <w:rFonts w:ascii="Arial Narrow" w:hAnsi="Arial Narrow"/>
                <w:b/>
                <w:bCs/>
                <w:szCs w:val="24"/>
                <w:lang w:eastAsia="en-AU"/>
              </w:rPr>
            </w:pPr>
            <w:r w:rsidRPr="004C64C9">
              <w:rPr>
                <w:rFonts w:ascii="Arial Narrow" w:hAnsi="Arial Narrow"/>
                <w:b/>
                <w:bCs/>
                <w:szCs w:val="24"/>
                <w:lang w:eastAsia="en-AU"/>
              </w:rPr>
              <w:t>Total</w:t>
            </w:r>
          </w:p>
        </w:tc>
        <w:tc>
          <w:tcPr>
            <w:tcW w:w="1189" w:type="pct"/>
            <w:tcBorders>
              <w:top w:val="single" w:sz="8" w:space="0" w:color="auto"/>
              <w:left w:val="nil"/>
              <w:bottom w:val="single" w:sz="8" w:space="0" w:color="auto"/>
              <w:right w:val="single" w:sz="8" w:space="0" w:color="FFFFFF"/>
            </w:tcBorders>
            <w:shd w:val="clear" w:color="auto" w:fill="auto"/>
            <w:vAlign w:val="center"/>
            <w:hideMark/>
          </w:tcPr>
          <w:p w14:paraId="47B1A606" w14:textId="77777777" w:rsidR="00F03CE8" w:rsidRPr="004C64C9" w:rsidRDefault="00F03CE8" w:rsidP="00F03CE8">
            <w:pPr>
              <w:spacing w:after="0"/>
              <w:jc w:val="center"/>
              <w:rPr>
                <w:rFonts w:ascii="Arial Narrow" w:hAnsi="Arial Narrow"/>
                <w:b/>
                <w:bCs/>
                <w:szCs w:val="24"/>
                <w:lang w:eastAsia="en-AU"/>
              </w:rPr>
            </w:pPr>
            <w:r w:rsidRPr="004C64C9">
              <w:rPr>
                <w:rFonts w:ascii="Arial Narrow" w:hAnsi="Arial Narrow"/>
                <w:b/>
                <w:bCs/>
                <w:szCs w:val="24"/>
                <w:lang w:eastAsia="en-AU"/>
              </w:rPr>
              <w:t>$88,729,645</w:t>
            </w:r>
          </w:p>
        </w:tc>
        <w:tc>
          <w:tcPr>
            <w:tcW w:w="934" w:type="pct"/>
            <w:tcBorders>
              <w:top w:val="single" w:sz="8" w:space="0" w:color="auto"/>
              <w:left w:val="nil"/>
              <w:bottom w:val="single" w:sz="8" w:space="0" w:color="auto"/>
              <w:right w:val="single" w:sz="8" w:space="0" w:color="FFFFFF"/>
            </w:tcBorders>
            <w:shd w:val="clear" w:color="auto" w:fill="auto"/>
            <w:vAlign w:val="center"/>
            <w:hideMark/>
          </w:tcPr>
          <w:p w14:paraId="053B0974" w14:textId="77777777" w:rsidR="00F03CE8" w:rsidRPr="004C64C9" w:rsidRDefault="00F03CE8" w:rsidP="00F03CE8">
            <w:pPr>
              <w:spacing w:after="0"/>
              <w:jc w:val="center"/>
              <w:rPr>
                <w:rFonts w:ascii="Arial Narrow" w:hAnsi="Arial Narrow"/>
                <w:b/>
                <w:bCs/>
                <w:szCs w:val="24"/>
                <w:lang w:eastAsia="en-AU"/>
              </w:rPr>
            </w:pPr>
            <w:r w:rsidRPr="004C64C9">
              <w:rPr>
                <w:rFonts w:ascii="Arial Narrow" w:hAnsi="Arial Narrow"/>
                <w:b/>
                <w:bCs/>
                <w:szCs w:val="24"/>
                <w:lang w:eastAsia="en-AU"/>
              </w:rPr>
              <w:t>$61,786,471</w:t>
            </w:r>
          </w:p>
        </w:tc>
        <w:tc>
          <w:tcPr>
            <w:tcW w:w="934" w:type="pct"/>
            <w:tcBorders>
              <w:top w:val="single" w:sz="8" w:space="0" w:color="auto"/>
              <w:left w:val="nil"/>
              <w:bottom w:val="single" w:sz="8" w:space="0" w:color="auto"/>
              <w:right w:val="single" w:sz="8" w:space="0" w:color="FFFFFF"/>
            </w:tcBorders>
            <w:shd w:val="clear" w:color="auto" w:fill="auto"/>
            <w:vAlign w:val="center"/>
            <w:hideMark/>
          </w:tcPr>
          <w:p w14:paraId="44E64F61" w14:textId="77777777" w:rsidR="00F03CE8" w:rsidRPr="004C64C9" w:rsidRDefault="00F03CE8" w:rsidP="00F03CE8">
            <w:pPr>
              <w:spacing w:after="0"/>
              <w:jc w:val="center"/>
              <w:rPr>
                <w:rFonts w:ascii="Arial Narrow" w:hAnsi="Arial Narrow"/>
                <w:b/>
                <w:bCs/>
                <w:szCs w:val="24"/>
                <w:lang w:eastAsia="en-AU"/>
              </w:rPr>
            </w:pPr>
            <w:r w:rsidRPr="004C64C9">
              <w:rPr>
                <w:rFonts w:ascii="Arial Narrow" w:hAnsi="Arial Narrow"/>
                <w:b/>
                <w:bCs/>
                <w:szCs w:val="24"/>
                <w:lang w:eastAsia="en-AU"/>
              </w:rPr>
              <w:t>$1,918,038</w:t>
            </w:r>
          </w:p>
        </w:tc>
        <w:tc>
          <w:tcPr>
            <w:tcW w:w="934" w:type="pct"/>
            <w:tcBorders>
              <w:top w:val="single" w:sz="8" w:space="0" w:color="auto"/>
              <w:left w:val="nil"/>
              <w:bottom w:val="single" w:sz="8" w:space="0" w:color="auto"/>
              <w:right w:val="single" w:sz="8" w:space="0" w:color="auto"/>
            </w:tcBorders>
            <w:shd w:val="clear" w:color="auto" w:fill="auto"/>
            <w:vAlign w:val="center"/>
            <w:hideMark/>
          </w:tcPr>
          <w:p w14:paraId="52800478" w14:textId="77777777" w:rsidR="00F03CE8" w:rsidRPr="004C64C9" w:rsidRDefault="00F03CE8" w:rsidP="00F03CE8">
            <w:pPr>
              <w:spacing w:after="0"/>
              <w:jc w:val="center"/>
              <w:rPr>
                <w:rFonts w:ascii="Arial Narrow" w:hAnsi="Arial Narrow"/>
                <w:b/>
                <w:bCs/>
                <w:szCs w:val="24"/>
                <w:lang w:eastAsia="en-AU"/>
              </w:rPr>
            </w:pPr>
            <w:r w:rsidRPr="004C64C9">
              <w:rPr>
                <w:rFonts w:ascii="Arial Narrow" w:hAnsi="Arial Narrow"/>
                <w:b/>
                <w:bCs/>
                <w:szCs w:val="24"/>
                <w:lang w:eastAsia="en-AU"/>
              </w:rPr>
              <w:t> </w:t>
            </w:r>
          </w:p>
        </w:tc>
      </w:tr>
    </w:tbl>
    <w:p w14:paraId="4EFB7245" w14:textId="77777777" w:rsidR="00E50305" w:rsidRDefault="00E50305" w:rsidP="002418A4">
      <w:pPr>
        <w:pStyle w:val="BodyText"/>
        <w:spacing w:after="360"/>
        <w:rPr>
          <w:szCs w:val="24"/>
        </w:rPr>
      </w:pPr>
    </w:p>
    <w:p w14:paraId="1F5BAA58" w14:textId="77777777" w:rsidR="002E5376" w:rsidRDefault="002E5376" w:rsidP="002E5376">
      <w:pPr>
        <w:rPr>
          <w:szCs w:val="24"/>
        </w:rPr>
      </w:pPr>
      <w:r w:rsidRPr="00EA0A8F">
        <w:rPr>
          <w:szCs w:val="24"/>
        </w:rPr>
        <w:t>The financial projections are shown</w:t>
      </w:r>
      <w:r w:rsidR="00E66052">
        <w:rPr>
          <w:szCs w:val="24"/>
        </w:rPr>
        <w:t xml:space="preserve"> below</w:t>
      </w:r>
      <w:r w:rsidRPr="00EA0A8F">
        <w:rPr>
          <w:szCs w:val="24"/>
        </w:rPr>
        <w:t xml:space="preserve"> in Graph 6.1.1, for the forecasted operating (operations and maintenance) and capital expenditure (renewal and upgrade/ new assets).</w:t>
      </w:r>
      <w:r w:rsidR="00E66052" w:rsidRPr="00E66052">
        <w:t xml:space="preserve"> </w:t>
      </w:r>
      <w:r w:rsidR="00E66052" w:rsidRPr="00E66052">
        <w:rPr>
          <w:szCs w:val="24"/>
        </w:rPr>
        <w:t xml:space="preserve">The operating and maintenance costs are projected to increase with the addition of new assets from both council funded projects and donated assets as </w:t>
      </w:r>
      <w:r w:rsidR="00E66052">
        <w:rPr>
          <w:szCs w:val="24"/>
        </w:rPr>
        <w:t>mentioned</w:t>
      </w:r>
      <w:r w:rsidR="00E66052" w:rsidRPr="00E66052">
        <w:rPr>
          <w:szCs w:val="24"/>
        </w:rPr>
        <w:t xml:space="preserve"> previously</w:t>
      </w:r>
      <w:r w:rsidR="00E66052">
        <w:rPr>
          <w:szCs w:val="24"/>
        </w:rPr>
        <w:t>.</w:t>
      </w:r>
    </w:p>
    <w:p w14:paraId="1AA2AD51" w14:textId="77777777" w:rsidR="0023472B" w:rsidRDefault="0023472B" w:rsidP="006A1785">
      <w:pPr>
        <w:pStyle w:val="BodyText"/>
        <w:ind w:right="375"/>
        <w:rPr>
          <w:rFonts w:cs="Arial"/>
          <w:szCs w:val="24"/>
        </w:rPr>
      </w:pPr>
    </w:p>
    <w:p w14:paraId="6DDFAA81" w14:textId="77777777" w:rsidR="00FA5036" w:rsidRPr="006F08FA" w:rsidRDefault="002E5376" w:rsidP="00616E47">
      <w:pPr>
        <w:keepNext/>
        <w:rPr>
          <w:b/>
          <w:iCs/>
          <w:color w:val="0070C0"/>
          <w:szCs w:val="22"/>
        </w:rPr>
      </w:pPr>
      <w:r w:rsidRPr="006F08FA">
        <w:rPr>
          <w:b/>
          <w:iCs/>
          <w:color w:val="0070C0"/>
          <w:szCs w:val="22"/>
        </w:rPr>
        <w:lastRenderedPageBreak/>
        <w:t>Graph 6.1.1</w:t>
      </w:r>
      <w:r w:rsidR="00FA5036" w:rsidRPr="006F08FA">
        <w:rPr>
          <w:b/>
          <w:iCs/>
          <w:color w:val="0070C0"/>
          <w:szCs w:val="22"/>
        </w:rPr>
        <w:tab/>
        <w:t>Forecast Operating and Capital Expenditure</w:t>
      </w:r>
    </w:p>
    <w:p w14:paraId="389D0BE7" w14:textId="77777777" w:rsidR="0023472B" w:rsidRDefault="00B10AEB" w:rsidP="00AD53DA">
      <w:pPr>
        <w:pStyle w:val="BodyText"/>
        <w:spacing w:after="120"/>
        <w:ind w:right="375"/>
        <w:jc w:val="center"/>
        <w:rPr>
          <w:rFonts w:cs="Arial"/>
          <w:szCs w:val="24"/>
        </w:rPr>
      </w:pPr>
      <w:r>
        <w:rPr>
          <w:noProof/>
          <w:lang w:eastAsia="en-AU"/>
        </w:rPr>
        <w:drawing>
          <wp:inline distT="0" distB="0" distL="0" distR="0" wp14:anchorId="658CE788" wp14:editId="699B4C75">
            <wp:extent cx="5943600" cy="3973830"/>
            <wp:effectExtent l="0" t="0" r="19050" b="266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B575F" w:rsidDel="004B575F">
        <w:rPr>
          <w:noProof/>
          <w:lang w:eastAsia="en-AU"/>
        </w:rPr>
        <w:t xml:space="preserve"> </w:t>
      </w:r>
    </w:p>
    <w:p w14:paraId="7BDE6C44" w14:textId="77777777" w:rsidR="00B7545D" w:rsidRDefault="009F19FB" w:rsidP="00AD53DA">
      <w:pPr>
        <w:pStyle w:val="BodyText"/>
        <w:spacing w:after="120"/>
        <w:ind w:right="375"/>
        <w:jc w:val="left"/>
        <w:rPr>
          <w:rFonts w:cs="Arial"/>
          <w:szCs w:val="24"/>
        </w:rPr>
      </w:pPr>
      <w:r w:rsidRPr="00375695">
        <w:rPr>
          <w:szCs w:val="24"/>
        </w:rPr>
        <w:t xml:space="preserve">The costs shown are in </w:t>
      </w:r>
      <w:r w:rsidR="00DD16AC">
        <w:rPr>
          <w:szCs w:val="24"/>
        </w:rPr>
        <w:t>20</w:t>
      </w:r>
      <w:r w:rsidRPr="00375695">
        <w:rPr>
          <w:szCs w:val="24"/>
        </w:rPr>
        <w:t>20 dollar replacement values and also include the 2% CPI increase.</w:t>
      </w:r>
    </w:p>
    <w:p w14:paraId="1EEC5442" w14:textId="77777777" w:rsidR="00BC54A3" w:rsidRDefault="00BC54A3" w:rsidP="00BC54A3">
      <w:pPr>
        <w:spacing w:after="0"/>
        <w:jc w:val="left"/>
        <w:rPr>
          <w:rFonts w:cs="Arial"/>
          <w:szCs w:val="24"/>
        </w:rPr>
      </w:pPr>
      <w:r w:rsidRPr="00BC54A3">
        <w:rPr>
          <w:rFonts w:cs="Arial"/>
          <w:szCs w:val="24"/>
        </w:rPr>
        <w:t>The projected renewals are taken from Section 5.3.1 and have been converted from m2 to 20</w:t>
      </w:r>
      <w:r w:rsidR="00CD74E6">
        <w:rPr>
          <w:rFonts w:cs="Arial"/>
          <w:szCs w:val="24"/>
        </w:rPr>
        <w:t>20</w:t>
      </w:r>
      <w:r w:rsidRPr="00BC54A3">
        <w:rPr>
          <w:rFonts w:cs="Arial"/>
          <w:szCs w:val="24"/>
        </w:rPr>
        <w:t xml:space="preserve"> dollar value with a </w:t>
      </w:r>
      <w:r>
        <w:rPr>
          <w:rFonts w:cs="Arial"/>
          <w:szCs w:val="24"/>
        </w:rPr>
        <w:t>2</w:t>
      </w:r>
      <w:r w:rsidRPr="00BC54A3">
        <w:rPr>
          <w:rFonts w:cs="Arial"/>
          <w:szCs w:val="24"/>
        </w:rPr>
        <w:t>% CPI increase per year added.</w:t>
      </w:r>
    </w:p>
    <w:p w14:paraId="6B691CA6" w14:textId="77777777" w:rsidR="00BC54A3" w:rsidRDefault="00BC54A3" w:rsidP="00BC54A3">
      <w:pPr>
        <w:spacing w:after="0"/>
        <w:jc w:val="left"/>
      </w:pPr>
    </w:p>
    <w:p w14:paraId="3A7D00BE" w14:textId="77777777" w:rsidR="00BC54A3" w:rsidRPr="00BC54A3" w:rsidRDefault="00BC54A3" w:rsidP="00BC54A3">
      <w:pPr>
        <w:spacing w:after="0"/>
        <w:jc w:val="left"/>
        <w:rPr>
          <w:rFonts w:cs="Arial"/>
          <w:szCs w:val="24"/>
        </w:rPr>
      </w:pPr>
      <w:r w:rsidRPr="00BC54A3">
        <w:rPr>
          <w:rFonts w:cs="Arial"/>
          <w:szCs w:val="24"/>
        </w:rPr>
        <w:t>The proposed budget allocation displayed in Fig 6 has been based on the Long Term Financial Plan (LTFP) allocated funding for renewals per year. The total figure as shown in the LTFP has been apportioned across the 5 AMP’s accordingly. These figures are on</w:t>
      </w:r>
      <w:r>
        <w:rPr>
          <w:rFonts w:cs="Arial"/>
          <w:szCs w:val="24"/>
        </w:rPr>
        <w:t>ly available up to year 29/30.</w:t>
      </w:r>
    </w:p>
    <w:p w14:paraId="68925D5A" w14:textId="77777777" w:rsidR="00BC54A3" w:rsidRDefault="00BC54A3" w:rsidP="00BC54A3">
      <w:pPr>
        <w:spacing w:after="0"/>
        <w:jc w:val="left"/>
        <w:rPr>
          <w:rFonts w:cs="Arial"/>
          <w:szCs w:val="24"/>
        </w:rPr>
      </w:pPr>
    </w:p>
    <w:p w14:paraId="521427DA" w14:textId="77777777" w:rsidR="006A1785" w:rsidRDefault="006A1785" w:rsidP="00BC54A3">
      <w:pPr>
        <w:spacing w:after="0"/>
        <w:jc w:val="left"/>
        <w:rPr>
          <w:rFonts w:cs="Arial"/>
          <w:szCs w:val="24"/>
        </w:rPr>
      </w:pPr>
      <w:r>
        <w:rPr>
          <w:rFonts w:cs="Arial"/>
          <w:szCs w:val="24"/>
        </w:rPr>
        <w:br w:type="page"/>
      </w:r>
    </w:p>
    <w:p w14:paraId="6A49AE15" w14:textId="77777777" w:rsidR="00FA5036" w:rsidRPr="006F08FA" w:rsidRDefault="00CF090B" w:rsidP="00616E47">
      <w:pPr>
        <w:keepNext/>
        <w:rPr>
          <w:b/>
          <w:iCs/>
          <w:color w:val="0070C0"/>
          <w:szCs w:val="22"/>
        </w:rPr>
      </w:pPr>
      <w:r w:rsidRPr="006F08FA">
        <w:rPr>
          <w:b/>
          <w:iCs/>
          <w:color w:val="0070C0"/>
          <w:szCs w:val="22"/>
        </w:rPr>
        <w:lastRenderedPageBreak/>
        <w:t>Graph 6.1.2</w:t>
      </w:r>
      <w:r w:rsidR="00D92F0E" w:rsidRPr="006F08FA">
        <w:rPr>
          <w:b/>
          <w:iCs/>
          <w:color w:val="0070C0"/>
          <w:szCs w:val="22"/>
        </w:rPr>
        <w:tab/>
      </w:r>
      <w:r w:rsidR="00FA5036" w:rsidRPr="006F08FA">
        <w:rPr>
          <w:b/>
          <w:iCs/>
          <w:color w:val="0070C0"/>
          <w:szCs w:val="22"/>
        </w:rPr>
        <w:t xml:space="preserve"> </w:t>
      </w:r>
      <w:r w:rsidR="00F538E1" w:rsidRPr="006F08FA">
        <w:rPr>
          <w:b/>
          <w:iCs/>
          <w:color w:val="0070C0"/>
          <w:szCs w:val="22"/>
        </w:rPr>
        <w:t xml:space="preserve">Projected </w:t>
      </w:r>
      <w:r w:rsidR="00FA5036" w:rsidRPr="006F08FA">
        <w:rPr>
          <w:b/>
          <w:iCs/>
          <w:color w:val="0070C0"/>
          <w:szCs w:val="22"/>
        </w:rPr>
        <w:t>Renewal</w:t>
      </w:r>
      <w:r w:rsidRPr="006F08FA">
        <w:rPr>
          <w:b/>
          <w:iCs/>
          <w:color w:val="0070C0"/>
          <w:szCs w:val="22"/>
        </w:rPr>
        <w:t>s</w:t>
      </w:r>
      <w:r w:rsidR="00FA5036" w:rsidRPr="006F08FA">
        <w:rPr>
          <w:b/>
          <w:iCs/>
          <w:color w:val="0070C0"/>
          <w:szCs w:val="22"/>
        </w:rPr>
        <w:t xml:space="preserve"> </w:t>
      </w:r>
      <w:r w:rsidRPr="006F08FA">
        <w:rPr>
          <w:b/>
          <w:iCs/>
          <w:color w:val="0070C0"/>
          <w:szCs w:val="22"/>
        </w:rPr>
        <w:t>and</w:t>
      </w:r>
      <w:r w:rsidR="0007578A" w:rsidRPr="006F08FA">
        <w:rPr>
          <w:b/>
          <w:iCs/>
          <w:color w:val="0070C0"/>
          <w:szCs w:val="22"/>
        </w:rPr>
        <w:t xml:space="preserve"> Annual Depreciation</w:t>
      </w:r>
    </w:p>
    <w:p w14:paraId="27A85E4E" w14:textId="77777777" w:rsidR="00FA5036" w:rsidRPr="00EA6639" w:rsidRDefault="00152924" w:rsidP="00AD53DA">
      <w:pPr>
        <w:pStyle w:val="BodyText"/>
        <w:spacing w:after="120"/>
        <w:ind w:right="375"/>
        <w:jc w:val="center"/>
        <w:rPr>
          <w:rFonts w:cs="Arial"/>
          <w:b/>
          <w:i/>
          <w:szCs w:val="24"/>
        </w:rPr>
      </w:pPr>
      <w:r>
        <w:rPr>
          <w:noProof/>
          <w:lang w:eastAsia="en-AU"/>
        </w:rPr>
        <w:drawing>
          <wp:inline distT="0" distB="0" distL="0" distR="0" wp14:anchorId="05D10E9B" wp14:editId="402A0B94">
            <wp:extent cx="5943600" cy="3905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36A7CA" w14:textId="77777777" w:rsidR="00FA5036" w:rsidRDefault="00FA5036" w:rsidP="001567EF">
      <w:pPr>
        <w:pStyle w:val="BodyText"/>
        <w:spacing w:after="120"/>
        <w:ind w:right="375"/>
        <w:rPr>
          <w:rFonts w:cs="Arial"/>
          <w:szCs w:val="24"/>
        </w:rPr>
      </w:pPr>
    </w:p>
    <w:p w14:paraId="28CF8E81" w14:textId="77777777" w:rsidR="00DB4275" w:rsidRDefault="00DB4275" w:rsidP="001567EF">
      <w:pPr>
        <w:pStyle w:val="BodyText"/>
        <w:ind w:right="375"/>
        <w:rPr>
          <w:rFonts w:cs="Arial"/>
          <w:szCs w:val="24"/>
        </w:rPr>
      </w:pPr>
      <w:r>
        <w:rPr>
          <w:rFonts w:cs="Arial"/>
          <w:szCs w:val="24"/>
        </w:rPr>
        <w:t xml:space="preserve">In Graph 6.1.2, data for the projected renewals are taken from Section 5.3.1 and have been converted from m2 to dollar value. The projected depreciation expense </w:t>
      </w:r>
      <w:proofErr w:type="gramStart"/>
      <w:r>
        <w:rPr>
          <w:rFonts w:cs="Arial"/>
          <w:szCs w:val="24"/>
        </w:rPr>
        <w:t>takes into account</w:t>
      </w:r>
      <w:proofErr w:type="gramEnd"/>
      <w:r>
        <w:rPr>
          <w:rFonts w:cs="Arial"/>
          <w:szCs w:val="24"/>
        </w:rPr>
        <w:t xml:space="preserve"> all new asset values and the budget allocation has been based on the funding for the renewals per year. </w:t>
      </w:r>
    </w:p>
    <w:p w14:paraId="3D9AC574" w14:textId="77777777" w:rsidR="00DB4275" w:rsidRPr="001567EF" w:rsidRDefault="00DB4275" w:rsidP="001567EF">
      <w:pPr>
        <w:pStyle w:val="BodyText"/>
        <w:ind w:right="375"/>
        <w:rPr>
          <w:rFonts w:cs="Arial"/>
          <w:szCs w:val="24"/>
        </w:rPr>
      </w:pPr>
      <w:r w:rsidRPr="001567EF">
        <w:rPr>
          <w:rFonts w:cs="Arial"/>
          <w:szCs w:val="24"/>
        </w:rPr>
        <w:t>These costs are shown in 2020 dollar values and also include the 2% CPI increase per year forward.</w:t>
      </w:r>
    </w:p>
    <w:p w14:paraId="7595C945" w14:textId="77777777" w:rsidR="00FA5036" w:rsidRDefault="00E26C57" w:rsidP="001567EF">
      <w:pPr>
        <w:pStyle w:val="BodyText"/>
        <w:ind w:right="375"/>
        <w:rPr>
          <w:rFonts w:cs="Arial"/>
          <w:szCs w:val="24"/>
        </w:rPr>
      </w:pPr>
      <w:r w:rsidRPr="001567EF">
        <w:rPr>
          <w:rFonts w:cs="Arial"/>
          <w:szCs w:val="24"/>
        </w:rPr>
        <w:t>Table 6.1</w:t>
      </w:r>
      <w:r w:rsidR="00866AB9" w:rsidRPr="001567EF">
        <w:rPr>
          <w:rFonts w:cs="Arial"/>
          <w:szCs w:val="24"/>
        </w:rPr>
        <w:t>.2</w:t>
      </w:r>
      <w:r w:rsidR="00FA5036" w:rsidRPr="001567EF">
        <w:rPr>
          <w:rFonts w:cs="Arial"/>
          <w:szCs w:val="24"/>
        </w:rPr>
        <w:t xml:space="preserve"> shows the gap between projected renewals </w:t>
      </w:r>
      <w:r w:rsidR="00271D84" w:rsidRPr="001567EF">
        <w:rPr>
          <w:rFonts w:cs="Arial"/>
          <w:szCs w:val="24"/>
        </w:rPr>
        <w:t xml:space="preserve">and the expected budget allocation </w:t>
      </w:r>
      <w:r w:rsidR="00FA5036" w:rsidRPr="001567EF">
        <w:rPr>
          <w:rFonts w:cs="Arial"/>
          <w:szCs w:val="24"/>
        </w:rPr>
        <w:t>for all footpaths (roads and parks).  New assets from growth have not been included in the projected renewals as they will not reach the end of their predicted useful life before 20</w:t>
      </w:r>
      <w:r w:rsidR="00082153" w:rsidRPr="001567EF">
        <w:rPr>
          <w:rFonts w:cs="Arial"/>
          <w:szCs w:val="24"/>
        </w:rPr>
        <w:t>30</w:t>
      </w:r>
      <w:r w:rsidR="00FA5036" w:rsidRPr="001567EF">
        <w:rPr>
          <w:rFonts w:cs="Arial"/>
          <w:szCs w:val="24"/>
        </w:rPr>
        <w:t>.</w:t>
      </w:r>
    </w:p>
    <w:p w14:paraId="0E574139" w14:textId="77777777" w:rsidR="00F709EE" w:rsidRDefault="00F709EE" w:rsidP="00F709EE">
      <w:pPr>
        <w:pStyle w:val="BodyText"/>
        <w:rPr>
          <w:b/>
          <w:i/>
          <w:color w:val="4BACC6" w:themeColor="accent5"/>
          <w:szCs w:val="22"/>
        </w:rPr>
      </w:pPr>
    </w:p>
    <w:p w14:paraId="446DE393" w14:textId="77777777" w:rsidR="00F122DA" w:rsidRDefault="00F122DA" w:rsidP="00F709EE">
      <w:pPr>
        <w:pStyle w:val="BodyText"/>
        <w:rPr>
          <w:b/>
          <w:i/>
          <w:color w:val="4BACC6" w:themeColor="accent5"/>
          <w:szCs w:val="22"/>
        </w:rPr>
      </w:pPr>
    </w:p>
    <w:p w14:paraId="46C05D43" w14:textId="77777777" w:rsidR="00F122DA" w:rsidRPr="00F709EE" w:rsidRDefault="00F122DA" w:rsidP="00F709EE">
      <w:pPr>
        <w:pStyle w:val="BodyText"/>
      </w:pPr>
    </w:p>
    <w:p w14:paraId="5CC6AB87" w14:textId="77777777" w:rsidR="00CB3153" w:rsidRPr="00CB3153" w:rsidRDefault="00CB3153" w:rsidP="00CB3153">
      <w:pPr>
        <w:pStyle w:val="BodyText"/>
      </w:pPr>
    </w:p>
    <w:p w14:paraId="4CAF523A" w14:textId="77777777" w:rsidR="00FA5036" w:rsidRPr="006F08FA" w:rsidRDefault="00E26C57" w:rsidP="00616E47">
      <w:pPr>
        <w:keepNext/>
        <w:rPr>
          <w:b/>
          <w:iCs/>
          <w:color w:val="0070C0"/>
          <w:szCs w:val="22"/>
        </w:rPr>
      </w:pPr>
      <w:r w:rsidRPr="006F08FA">
        <w:rPr>
          <w:b/>
          <w:iCs/>
          <w:color w:val="0070C0"/>
          <w:szCs w:val="22"/>
        </w:rPr>
        <w:lastRenderedPageBreak/>
        <w:t>Table 6.1</w:t>
      </w:r>
      <w:r w:rsidR="00314CCE" w:rsidRPr="006F08FA">
        <w:rPr>
          <w:b/>
          <w:iCs/>
          <w:color w:val="0070C0"/>
          <w:szCs w:val="22"/>
        </w:rPr>
        <w:t>.</w:t>
      </w:r>
      <w:r w:rsidR="00540F70" w:rsidRPr="006F08FA">
        <w:rPr>
          <w:b/>
          <w:iCs/>
          <w:color w:val="0070C0"/>
          <w:szCs w:val="22"/>
        </w:rPr>
        <w:t>2</w:t>
      </w:r>
      <w:r w:rsidR="00271D84" w:rsidRPr="006F08FA">
        <w:rPr>
          <w:b/>
          <w:iCs/>
          <w:color w:val="0070C0"/>
          <w:szCs w:val="22"/>
        </w:rPr>
        <w:tab/>
        <w:t xml:space="preserve">Projected </w:t>
      </w:r>
      <w:r w:rsidR="00FA5036" w:rsidRPr="006F08FA">
        <w:rPr>
          <w:b/>
          <w:iCs/>
          <w:color w:val="0070C0"/>
          <w:szCs w:val="22"/>
        </w:rPr>
        <w:t xml:space="preserve">Renewals and </w:t>
      </w:r>
      <w:r w:rsidR="00271D84" w:rsidRPr="006F08FA">
        <w:rPr>
          <w:b/>
          <w:iCs/>
          <w:color w:val="0070C0"/>
          <w:szCs w:val="22"/>
        </w:rPr>
        <w:t>Budget Allocation</w:t>
      </w:r>
      <w:r w:rsidR="00FA5036" w:rsidRPr="006F08FA">
        <w:rPr>
          <w:b/>
          <w:iCs/>
          <w:color w:val="0070C0"/>
          <w:szCs w:val="22"/>
        </w:rPr>
        <w:t xml:space="preserve"> Gap </w:t>
      </w:r>
    </w:p>
    <w:tbl>
      <w:tblPr>
        <w:tblW w:w="5000" w:type="pct"/>
        <w:tblLook w:val="04A0" w:firstRow="1" w:lastRow="0" w:firstColumn="1" w:lastColumn="0" w:noHBand="0" w:noVBand="1"/>
      </w:tblPr>
      <w:tblGrid>
        <w:gridCol w:w="780"/>
        <w:gridCol w:w="1221"/>
        <w:gridCol w:w="1202"/>
        <w:gridCol w:w="1222"/>
        <w:gridCol w:w="1311"/>
        <w:gridCol w:w="1311"/>
        <w:gridCol w:w="1257"/>
        <w:gridCol w:w="1359"/>
      </w:tblGrid>
      <w:tr w:rsidR="006976FB" w:rsidRPr="006976FB" w14:paraId="3C33C22B" w14:textId="77777777" w:rsidTr="007A0BF7">
        <w:trPr>
          <w:trHeight w:val="615"/>
        </w:trPr>
        <w:tc>
          <w:tcPr>
            <w:tcW w:w="423" w:type="pct"/>
            <w:vMerge w:val="restart"/>
            <w:tcBorders>
              <w:top w:val="single" w:sz="8" w:space="0" w:color="auto"/>
              <w:left w:val="single" w:sz="8" w:space="0" w:color="auto"/>
              <w:bottom w:val="single" w:sz="12" w:space="0" w:color="FFFFFF"/>
              <w:right w:val="single" w:sz="8" w:space="0" w:color="FFFFFF"/>
            </w:tcBorders>
            <w:shd w:val="clear" w:color="000000" w:fill="4BACC6"/>
            <w:vAlign w:val="center"/>
            <w:hideMark/>
          </w:tcPr>
          <w:p w14:paraId="7CF26265"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Year</w:t>
            </w:r>
          </w:p>
        </w:tc>
        <w:tc>
          <w:tcPr>
            <w:tcW w:w="2535" w:type="pct"/>
            <w:gridSpan w:val="4"/>
            <w:tcBorders>
              <w:top w:val="single" w:sz="8" w:space="0" w:color="auto"/>
              <w:left w:val="nil"/>
              <w:bottom w:val="single" w:sz="8" w:space="0" w:color="FFFFFF"/>
              <w:right w:val="single" w:sz="8" w:space="0" w:color="FFFFFF"/>
            </w:tcBorders>
            <w:shd w:val="clear" w:color="000000" w:fill="4BACC6"/>
            <w:vAlign w:val="center"/>
            <w:hideMark/>
          </w:tcPr>
          <w:p w14:paraId="79B5A909"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Projected Renewals inc. 2%</w:t>
            </w:r>
          </w:p>
        </w:tc>
        <w:tc>
          <w:tcPr>
            <w:tcW w:w="651" w:type="pct"/>
            <w:vMerge w:val="restart"/>
            <w:tcBorders>
              <w:top w:val="single" w:sz="8" w:space="0" w:color="auto"/>
              <w:left w:val="single" w:sz="8" w:space="0" w:color="FFFFFF"/>
              <w:bottom w:val="nil"/>
              <w:right w:val="single" w:sz="8" w:space="0" w:color="FFFFFF"/>
            </w:tcBorders>
            <w:shd w:val="clear" w:color="000000" w:fill="4BACC6"/>
            <w:vAlign w:val="center"/>
            <w:hideMark/>
          </w:tcPr>
          <w:p w14:paraId="4922B149"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Proposed Budget Allocation from LTFP</w:t>
            </w:r>
          </w:p>
        </w:tc>
        <w:tc>
          <w:tcPr>
            <w:tcW w:w="669" w:type="pct"/>
            <w:vMerge w:val="restart"/>
            <w:tcBorders>
              <w:top w:val="single" w:sz="8" w:space="0" w:color="auto"/>
              <w:left w:val="single" w:sz="8" w:space="0" w:color="FFFFFF"/>
              <w:bottom w:val="nil"/>
              <w:right w:val="single" w:sz="8" w:space="0" w:color="FFFFFF"/>
            </w:tcBorders>
            <w:shd w:val="clear" w:color="000000" w:fill="4BACC6"/>
            <w:vAlign w:val="center"/>
            <w:hideMark/>
          </w:tcPr>
          <w:p w14:paraId="52F81077"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Funding gap</w:t>
            </w:r>
          </w:p>
        </w:tc>
        <w:tc>
          <w:tcPr>
            <w:tcW w:w="722" w:type="pct"/>
            <w:vMerge w:val="restart"/>
            <w:tcBorders>
              <w:top w:val="single" w:sz="8" w:space="0" w:color="auto"/>
              <w:left w:val="single" w:sz="8" w:space="0" w:color="FFFFFF"/>
              <w:bottom w:val="nil"/>
              <w:right w:val="single" w:sz="8" w:space="0" w:color="auto"/>
            </w:tcBorders>
            <w:shd w:val="clear" w:color="000000" w:fill="4BACC6"/>
            <w:vAlign w:val="center"/>
            <w:hideMark/>
          </w:tcPr>
          <w:p w14:paraId="119C81FF"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Cumulative Gap</w:t>
            </w:r>
          </w:p>
        </w:tc>
      </w:tr>
      <w:tr w:rsidR="006976FB" w:rsidRPr="006976FB" w14:paraId="6BF9CE33" w14:textId="77777777" w:rsidTr="00FF0D88">
        <w:trPr>
          <w:trHeight w:val="645"/>
        </w:trPr>
        <w:tc>
          <w:tcPr>
            <w:tcW w:w="423" w:type="pct"/>
            <w:vMerge/>
            <w:tcBorders>
              <w:top w:val="nil"/>
              <w:left w:val="single" w:sz="8" w:space="0" w:color="auto"/>
              <w:bottom w:val="thinThickSmallGap" w:sz="24" w:space="0" w:color="auto"/>
              <w:right w:val="single" w:sz="8" w:space="0" w:color="FFFFFF"/>
            </w:tcBorders>
            <w:vAlign w:val="center"/>
            <w:hideMark/>
          </w:tcPr>
          <w:p w14:paraId="28ACBDBF" w14:textId="77777777" w:rsidR="006976FB" w:rsidRPr="006976FB" w:rsidRDefault="006976FB" w:rsidP="006976FB">
            <w:pPr>
              <w:spacing w:after="0" w:line="240" w:lineRule="auto"/>
              <w:jc w:val="left"/>
              <w:rPr>
                <w:rFonts w:ascii="Arial Narrow" w:hAnsi="Arial Narrow"/>
                <w:color w:val="FFFFFF"/>
                <w:szCs w:val="24"/>
                <w:lang w:eastAsia="en-AU"/>
              </w:rPr>
            </w:pPr>
          </w:p>
        </w:tc>
        <w:tc>
          <w:tcPr>
            <w:tcW w:w="651" w:type="pct"/>
            <w:tcBorders>
              <w:top w:val="nil"/>
              <w:left w:val="nil"/>
              <w:bottom w:val="thinThickSmallGap" w:sz="24" w:space="0" w:color="auto"/>
              <w:right w:val="single" w:sz="8" w:space="0" w:color="FFFFFF"/>
            </w:tcBorders>
            <w:shd w:val="clear" w:color="000000" w:fill="4BACC6"/>
            <w:vAlign w:val="center"/>
            <w:hideMark/>
          </w:tcPr>
          <w:p w14:paraId="05F7FEDD"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Roads</w:t>
            </w:r>
          </w:p>
        </w:tc>
        <w:tc>
          <w:tcPr>
            <w:tcW w:w="590" w:type="pct"/>
            <w:tcBorders>
              <w:top w:val="nil"/>
              <w:left w:val="nil"/>
              <w:bottom w:val="thinThickSmallGap" w:sz="24" w:space="0" w:color="auto"/>
              <w:right w:val="single" w:sz="8" w:space="0" w:color="FFFFFF"/>
            </w:tcBorders>
            <w:shd w:val="clear" w:color="000000" w:fill="4BACC6"/>
            <w:vAlign w:val="center"/>
            <w:hideMark/>
          </w:tcPr>
          <w:p w14:paraId="15F919C9"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Parks</w:t>
            </w:r>
          </w:p>
        </w:tc>
        <w:tc>
          <w:tcPr>
            <w:tcW w:w="651" w:type="pct"/>
            <w:tcBorders>
              <w:top w:val="nil"/>
              <w:left w:val="nil"/>
              <w:bottom w:val="thinThickSmallGap" w:sz="24" w:space="0" w:color="auto"/>
              <w:right w:val="single" w:sz="8" w:space="0" w:color="FFFFFF"/>
            </w:tcBorders>
            <w:shd w:val="clear" w:color="000000" w:fill="4BACC6"/>
            <w:vAlign w:val="center"/>
            <w:hideMark/>
          </w:tcPr>
          <w:p w14:paraId="105F0206"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Under 1.5m wide</w:t>
            </w:r>
          </w:p>
        </w:tc>
        <w:tc>
          <w:tcPr>
            <w:tcW w:w="643" w:type="pct"/>
            <w:tcBorders>
              <w:top w:val="nil"/>
              <w:left w:val="nil"/>
              <w:bottom w:val="thinThickSmallGap" w:sz="24" w:space="0" w:color="auto"/>
              <w:right w:val="single" w:sz="8" w:space="0" w:color="FFFFFF"/>
            </w:tcBorders>
            <w:shd w:val="clear" w:color="000000" w:fill="4BACC6"/>
            <w:vAlign w:val="center"/>
            <w:hideMark/>
          </w:tcPr>
          <w:p w14:paraId="27DD5707"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Total</w:t>
            </w:r>
          </w:p>
        </w:tc>
        <w:tc>
          <w:tcPr>
            <w:tcW w:w="651" w:type="pct"/>
            <w:vMerge/>
            <w:tcBorders>
              <w:top w:val="nil"/>
              <w:left w:val="single" w:sz="8" w:space="0" w:color="FFFFFF"/>
              <w:bottom w:val="thinThickSmallGap" w:sz="24" w:space="0" w:color="auto"/>
              <w:right w:val="single" w:sz="8" w:space="0" w:color="FFFFFF"/>
            </w:tcBorders>
            <w:vAlign w:val="center"/>
            <w:hideMark/>
          </w:tcPr>
          <w:p w14:paraId="71607FE1" w14:textId="77777777" w:rsidR="006976FB" w:rsidRPr="006976FB" w:rsidRDefault="006976FB" w:rsidP="006976FB">
            <w:pPr>
              <w:spacing w:after="0" w:line="240" w:lineRule="auto"/>
              <w:jc w:val="left"/>
              <w:rPr>
                <w:rFonts w:ascii="Arial Narrow" w:hAnsi="Arial Narrow"/>
                <w:color w:val="FFFFFF"/>
                <w:szCs w:val="24"/>
                <w:lang w:eastAsia="en-AU"/>
              </w:rPr>
            </w:pPr>
          </w:p>
        </w:tc>
        <w:tc>
          <w:tcPr>
            <w:tcW w:w="669" w:type="pct"/>
            <w:vMerge/>
            <w:tcBorders>
              <w:top w:val="nil"/>
              <w:left w:val="single" w:sz="8" w:space="0" w:color="FFFFFF"/>
              <w:bottom w:val="thinThickSmallGap" w:sz="24" w:space="0" w:color="auto"/>
              <w:right w:val="single" w:sz="8" w:space="0" w:color="FFFFFF"/>
            </w:tcBorders>
            <w:vAlign w:val="center"/>
            <w:hideMark/>
          </w:tcPr>
          <w:p w14:paraId="1E16E0DD" w14:textId="77777777" w:rsidR="006976FB" w:rsidRPr="006976FB" w:rsidRDefault="006976FB" w:rsidP="006976FB">
            <w:pPr>
              <w:spacing w:after="0" w:line="240" w:lineRule="auto"/>
              <w:jc w:val="left"/>
              <w:rPr>
                <w:rFonts w:ascii="Arial Narrow" w:hAnsi="Arial Narrow"/>
                <w:color w:val="FFFFFF"/>
                <w:szCs w:val="24"/>
                <w:lang w:eastAsia="en-AU"/>
              </w:rPr>
            </w:pPr>
          </w:p>
        </w:tc>
        <w:tc>
          <w:tcPr>
            <w:tcW w:w="722" w:type="pct"/>
            <w:vMerge/>
            <w:tcBorders>
              <w:top w:val="nil"/>
              <w:left w:val="single" w:sz="8" w:space="0" w:color="FFFFFF"/>
              <w:bottom w:val="thinThickSmallGap" w:sz="24" w:space="0" w:color="auto"/>
              <w:right w:val="single" w:sz="8" w:space="0" w:color="auto"/>
            </w:tcBorders>
            <w:vAlign w:val="center"/>
            <w:hideMark/>
          </w:tcPr>
          <w:p w14:paraId="6EBD3727" w14:textId="77777777" w:rsidR="006976FB" w:rsidRPr="006976FB" w:rsidRDefault="006976FB" w:rsidP="006976FB">
            <w:pPr>
              <w:spacing w:after="0" w:line="240" w:lineRule="auto"/>
              <w:jc w:val="left"/>
              <w:rPr>
                <w:rFonts w:ascii="Arial Narrow" w:hAnsi="Arial Narrow"/>
                <w:color w:val="FFFFFF"/>
                <w:szCs w:val="24"/>
                <w:lang w:eastAsia="en-AU"/>
              </w:rPr>
            </w:pPr>
          </w:p>
        </w:tc>
      </w:tr>
      <w:tr w:rsidR="006976FB" w:rsidRPr="006976FB" w14:paraId="517B4DC7" w14:textId="77777777" w:rsidTr="00FF0D88">
        <w:trPr>
          <w:trHeight w:val="330"/>
        </w:trPr>
        <w:tc>
          <w:tcPr>
            <w:tcW w:w="423" w:type="pct"/>
            <w:tcBorders>
              <w:top w:val="thinThickSmallGap" w:sz="24" w:space="0" w:color="auto"/>
              <w:left w:val="single" w:sz="8" w:space="0" w:color="auto"/>
              <w:bottom w:val="single" w:sz="8" w:space="0" w:color="FFFFFF"/>
              <w:right w:val="thinThickSmallGap" w:sz="24" w:space="0" w:color="auto"/>
            </w:tcBorders>
            <w:shd w:val="clear" w:color="000000" w:fill="4BACC6"/>
            <w:vAlign w:val="center"/>
            <w:hideMark/>
          </w:tcPr>
          <w:p w14:paraId="69685E41"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20/21</w:t>
            </w:r>
          </w:p>
        </w:tc>
        <w:tc>
          <w:tcPr>
            <w:tcW w:w="651" w:type="pct"/>
            <w:tcBorders>
              <w:top w:val="thinThickSmallGap" w:sz="24" w:space="0" w:color="auto"/>
              <w:left w:val="thinThickSmallGap" w:sz="24" w:space="0" w:color="auto"/>
              <w:bottom w:val="single" w:sz="8" w:space="0" w:color="FFFFFF"/>
              <w:right w:val="single" w:sz="8" w:space="0" w:color="FFFFFF"/>
            </w:tcBorders>
            <w:shd w:val="clear" w:color="000000" w:fill="DAEEF3"/>
            <w:noWrap/>
            <w:vAlign w:val="center"/>
            <w:hideMark/>
          </w:tcPr>
          <w:p w14:paraId="63F4DAD3"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$343,765</w:t>
            </w:r>
          </w:p>
        </w:tc>
        <w:tc>
          <w:tcPr>
            <w:tcW w:w="590" w:type="pct"/>
            <w:tcBorders>
              <w:top w:val="thinThickSmallGap" w:sz="24" w:space="0" w:color="auto"/>
              <w:left w:val="nil"/>
              <w:bottom w:val="single" w:sz="8" w:space="0" w:color="FFFFFF"/>
              <w:right w:val="single" w:sz="8" w:space="0" w:color="FFFFFF"/>
            </w:tcBorders>
            <w:shd w:val="clear" w:color="000000" w:fill="DAEEF3"/>
            <w:noWrap/>
            <w:vAlign w:val="center"/>
            <w:hideMark/>
          </w:tcPr>
          <w:p w14:paraId="437BAA1E"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51" w:type="pct"/>
            <w:tcBorders>
              <w:top w:val="thinThickSmallGap" w:sz="24" w:space="0" w:color="auto"/>
              <w:left w:val="nil"/>
              <w:bottom w:val="single" w:sz="8" w:space="0" w:color="FFFFFF"/>
              <w:right w:val="single" w:sz="8" w:space="0" w:color="FFFFFF"/>
            </w:tcBorders>
            <w:shd w:val="clear" w:color="000000" w:fill="DAEEF3"/>
            <w:noWrap/>
            <w:vAlign w:val="center"/>
            <w:hideMark/>
          </w:tcPr>
          <w:p w14:paraId="7A3A161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$258,535</w:t>
            </w:r>
          </w:p>
        </w:tc>
        <w:tc>
          <w:tcPr>
            <w:tcW w:w="643" w:type="pct"/>
            <w:tcBorders>
              <w:top w:val="thinThickSmallGap" w:sz="24" w:space="0" w:color="auto"/>
              <w:left w:val="nil"/>
              <w:bottom w:val="single" w:sz="8" w:space="0" w:color="FFFFFF"/>
              <w:right w:val="single" w:sz="8" w:space="0" w:color="FFFFFF"/>
            </w:tcBorders>
            <w:shd w:val="clear" w:color="000000" w:fill="DAEEF3"/>
            <w:vAlign w:val="center"/>
            <w:hideMark/>
          </w:tcPr>
          <w:p w14:paraId="216E5E5A"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$602,300</w:t>
            </w:r>
          </w:p>
        </w:tc>
        <w:tc>
          <w:tcPr>
            <w:tcW w:w="651" w:type="pct"/>
            <w:tcBorders>
              <w:top w:val="thinThickSmallGap" w:sz="24" w:space="0" w:color="auto"/>
              <w:left w:val="nil"/>
              <w:bottom w:val="single" w:sz="8" w:space="0" w:color="FFFFFF"/>
              <w:right w:val="single" w:sz="8" w:space="0" w:color="FFFFFF"/>
            </w:tcBorders>
            <w:shd w:val="clear" w:color="000000" w:fill="DAEEF3"/>
            <w:vAlign w:val="center"/>
            <w:hideMark/>
          </w:tcPr>
          <w:p w14:paraId="22266F0D"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$527,115</w:t>
            </w:r>
          </w:p>
        </w:tc>
        <w:tc>
          <w:tcPr>
            <w:tcW w:w="669" w:type="pct"/>
            <w:tcBorders>
              <w:top w:val="thinThickSmallGap" w:sz="24" w:space="0" w:color="auto"/>
              <w:left w:val="nil"/>
              <w:bottom w:val="single" w:sz="8" w:space="0" w:color="FFFFFF"/>
              <w:right w:val="single" w:sz="8" w:space="0" w:color="FFFFFF"/>
            </w:tcBorders>
            <w:shd w:val="clear" w:color="000000" w:fill="DAEEF3"/>
            <w:vAlign w:val="center"/>
            <w:hideMark/>
          </w:tcPr>
          <w:p w14:paraId="377EFCB9"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$75,185</w:t>
            </w:r>
          </w:p>
        </w:tc>
        <w:tc>
          <w:tcPr>
            <w:tcW w:w="722" w:type="pct"/>
            <w:tcBorders>
              <w:top w:val="thinThickSmallGap" w:sz="24" w:space="0" w:color="auto"/>
              <w:left w:val="nil"/>
              <w:bottom w:val="single" w:sz="8" w:space="0" w:color="FFFFFF"/>
              <w:right w:val="single" w:sz="8" w:space="0" w:color="auto"/>
            </w:tcBorders>
            <w:shd w:val="clear" w:color="000000" w:fill="B6DDE8"/>
            <w:vAlign w:val="center"/>
            <w:hideMark/>
          </w:tcPr>
          <w:p w14:paraId="1DB20520"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$75,185</w:t>
            </w:r>
          </w:p>
        </w:tc>
      </w:tr>
      <w:tr w:rsidR="006976FB" w:rsidRPr="006976FB" w14:paraId="7F24BB0E"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0263AB21"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21/22</w:t>
            </w:r>
          </w:p>
        </w:tc>
        <w:tc>
          <w:tcPr>
            <w:tcW w:w="651" w:type="pct"/>
            <w:tcBorders>
              <w:top w:val="nil"/>
              <w:left w:val="thinThickSmallGap" w:sz="24" w:space="0" w:color="auto"/>
              <w:bottom w:val="single" w:sz="8" w:space="0" w:color="FFFFFF"/>
              <w:right w:val="single" w:sz="8" w:space="0" w:color="FFFFFF"/>
            </w:tcBorders>
            <w:shd w:val="clear" w:color="000000" w:fill="B7DEE8"/>
            <w:noWrap/>
            <w:vAlign w:val="center"/>
            <w:hideMark/>
          </w:tcPr>
          <w:p w14:paraId="44A8D0AD"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$177,854</w:t>
            </w:r>
          </w:p>
        </w:tc>
        <w:tc>
          <w:tcPr>
            <w:tcW w:w="590" w:type="pct"/>
            <w:tcBorders>
              <w:top w:val="nil"/>
              <w:left w:val="nil"/>
              <w:bottom w:val="single" w:sz="8" w:space="0" w:color="FFFFFF"/>
              <w:right w:val="single" w:sz="8" w:space="0" w:color="FFFFFF"/>
            </w:tcBorders>
            <w:shd w:val="clear" w:color="000000" w:fill="B7DEE8"/>
            <w:noWrap/>
            <w:vAlign w:val="center"/>
            <w:hideMark/>
          </w:tcPr>
          <w:p w14:paraId="1B5A65D4"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$17,997</w:t>
            </w:r>
          </w:p>
        </w:tc>
        <w:tc>
          <w:tcPr>
            <w:tcW w:w="651" w:type="pct"/>
            <w:tcBorders>
              <w:top w:val="nil"/>
              <w:left w:val="nil"/>
              <w:bottom w:val="single" w:sz="8" w:space="0" w:color="FFFFFF"/>
              <w:right w:val="single" w:sz="8" w:space="0" w:color="FFFFFF"/>
            </w:tcBorders>
            <w:shd w:val="clear" w:color="000000" w:fill="B7DEE8"/>
            <w:noWrap/>
            <w:vAlign w:val="center"/>
            <w:hideMark/>
          </w:tcPr>
          <w:p w14:paraId="76012C7C"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$927,813</w:t>
            </w:r>
          </w:p>
        </w:tc>
        <w:tc>
          <w:tcPr>
            <w:tcW w:w="643" w:type="pct"/>
            <w:tcBorders>
              <w:top w:val="nil"/>
              <w:left w:val="nil"/>
              <w:bottom w:val="single" w:sz="8" w:space="0" w:color="FFFFFF"/>
              <w:right w:val="single" w:sz="8" w:space="0" w:color="FFFFFF"/>
            </w:tcBorders>
            <w:shd w:val="clear" w:color="000000" w:fill="B7DEE8"/>
            <w:vAlign w:val="center"/>
            <w:hideMark/>
          </w:tcPr>
          <w:p w14:paraId="26149346"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$1,123,664</w:t>
            </w:r>
          </w:p>
        </w:tc>
        <w:tc>
          <w:tcPr>
            <w:tcW w:w="651" w:type="pct"/>
            <w:tcBorders>
              <w:top w:val="nil"/>
              <w:left w:val="nil"/>
              <w:bottom w:val="single" w:sz="8" w:space="0" w:color="FFFFFF"/>
              <w:right w:val="single" w:sz="8" w:space="0" w:color="FFFFFF"/>
            </w:tcBorders>
            <w:shd w:val="clear" w:color="000000" w:fill="B7DEE8"/>
            <w:vAlign w:val="center"/>
            <w:hideMark/>
          </w:tcPr>
          <w:p w14:paraId="7E62B294"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$1,011,851</w:t>
            </w:r>
          </w:p>
        </w:tc>
        <w:tc>
          <w:tcPr>
            <w:tcW w:w="669" w:type="pct"/>
            <w:tcBorders>
              <w:top w:val="nil"/>
              <w:left w:val="nil"/>
              <w:bottom w:val="single" w:sz="8" w:space="0" w:color="FFFFFF"/>
              <w:right w:val="single" w:sz="8" w:space="0" w:color="FFFFFF"/>
            </w:tcBorders>
            <w:shd w:val="clear" w:color="000000" w:fill="B7DEE8"/>
            <w:vAlign w:val="center"/>
            <w:hideMark/>
          </w:tcPr>
          <w:p w14:paraId="2B69C2EA"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$111,813</w:t>
            </w:r>
          </w:p>
        </w:tc>
        <w:tc>
          <w:tcPr>
            <w:tcW w:w="722" w:type="pct"/>
            <w:tcBorders>
              <w:top w:val="nil"/>
              <w:left w:val="nil"/>
              <w:bottom w:val="single" w:sz="8" w:space="0" w:color="FFFFFF"/>
              <w:right w:val="single" w:sz="8" w:space="0" w:color="auto"/>
            </w:tcBorders>
            <w:shd w:val="clear" w:color="000000" w:fill="B7DEE8"/>
            <w:vAlign w:val="center"/>
            <w:hideMark/>
          </w:tcPr>
          <w:p w14:paraId="13675B42"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$186,998</w:t>
            </w:r>
          </w:p>
        </w:tc>
      </w:tr>
      <w:tr w:rsidR="006976FB" w:rsidRPr="006976FB" w14:paraId="2800CEFB"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3F28FE40"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22/23</w:t>
            </w:r>
          </w:p>
        </w:tc>
        <w:tc>
          <w:tcPr>
            <w:tcW w:w="651"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22AEA1F6"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$251,862</w:t>
            </w:r>
          </w:p>
        </w:tc>
        <w:tc>
          <w:tcPr>
            <w:tcW w:w="590" w:type="pct"/>
            <w:tcBorders>
              <w:top w:val="nil"/>
              <w:left w:val="nil"/>
              <w:bottom w:val="single" w:sz="8" w:space="0" w:color="FFFFFF"/>
              <w:right w:val="single" w:sz="8" w:space="0" w:color="FFFFFF"/>
            </w:tcBorders>
            <w:shd w:val="clear" w:color="000000" w:fill="DAEEF3"/>
            <w:noWrap/>
            <w:vAlign w:val="center"/>
            <w:hideMark/>
          </w:tcPr>
          <w:p w14:paraId="20882380"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$38,098</w:t>
            </w:r>
          </w:p>
        </w:tc>
        <w:tc>
          <w:tcPr>
            <w:tcW w:w="651" w:type="pct"/>
            <w:tcBorders>
              <w:top w:val="nil"/>
              <w:left w:val="nil"/>
              <w:bottom w:val="single" w:sz="8" w:space="0" w:color="FFFFFF"/>
              <w:right w:val="single" w:sz="8" w:space="0" w:color="FFFFFF"/>
            </w:tcBorders>
            <w:shd w:val="clear" w:color="000000" w:fill="DAEEF3"/>
            <w:noWrap/>
            <w:vAlign w:val="center"/>
            <w:hideMark/>
          </w:tcPr>
          <w:p w14:paraId="21C6A3C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$1,801,453</w:t>
            </w:r>
          </w:p>
        </w:tc>
        <w:tc>
          <w:tcPr>
            <w:tcW w:w="643" w:type="pct"/>
            <w:tcBorders>
              <w:top w:val="nil"/>
              <w:left w:val="nil"/>
              <w:bottom w:val="single" w:sz="8" w:space="0" w:color="FFFFFF"/>
              <w:right w:val="single" w:sz="8" w:space="0" w:color="FFFFFF"/>
            </w:tcBorders>
            <w:shd w:val="clear" w:color="000000" w:fill="DAEEF3"/>
            <w:vAlign w:val="center"/>
            <w:hideMark/>
          </w:tcPr>
          <w:p w14:paraId="5C856DDE"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$2,091,413</w:t>
            </w:r>
          </w:p>
        </w:tc>
        <w:tc>
          <w:tcPr>
            <w:tcW w:w="651" w:type="pct"/>
            <w:tcBorders>
              <w:top w:val="nil"/>
              <w:left w:val="nil"/>
              <w:bottom w:val="single" w:sz="8" w:space="0" w:color="FFFFFF"/>
              <w:right w:val="single" w:sz="8" w:space="0" w:color="FFFFFF"/>
            </w:tcBorders>
            <w:shd w:val="clear" w:color="000000" w:fill="DAEEF3"/>
            <w:vAlign w:val="center"/>
            <w:hideMark/>
          </w:tcPr>
          <w:p w14:paraId="05D4CB6C"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$1,986,843</w:t>
            </w:r>
          </w:p>
        </w:tc>
        <w:tc>
          <w:tcPr>
            <w:tcW w:w="669" w:type="pct"/>
            <w:tcBorders>
              <w:top w:val="nil"/>
              <w:left w:val="nil"/>
              <w:bottom w:val="single" w:sz="8" w:space="0" w:color="FFFFFF"/>
              <w:right w:val="single" w:sz="8" w:space="0" w:color="FFFFFF"/>
            </w:tcBorders>
            <w:shd w:val="clear" w:color="000000" w:fill="DAEEF3"/>
            <w:vAlign w:val="center"/>
            <w:hideMark/>
          </w:tcPr>
          <w:p w14:paraId="4F8CA5AE"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$104,571</w:t>
            </w:r>
          </w:p>
        </w:tc>
        <w:tc>
          <w:tcPr>
            <w:tcW w:w="722" w:type="pct"/>
            <w:tcBorders>
              <w:top w:val="nil"/>
              <w:left w:val="nil"/>
              <w:bottom w:val="single" w:sz="8" w:space="0" w:color="FFFFFF"/>
              <w:right w:val="single" w:sz="8" w:space="0" w:color="auto"/>
            </w:tcBorders>
            <w:shd w:val="clear" w:color="000000" w:fill="DAEEF3"/>
            <w:vAlign w:val="center"/>
            <w:hideMark/>
          </w:tcPr>
          <w:p w14:paraId="61BCEDEF"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53214A57"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42112EE7"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23/24</w:t>
            </w:r>
          </w:p>
        </w:tc>
        <w:tc>
          <w:tcPr>
            <w:tcW w:w="651" w:type="pct"/>
            <w:tcBorders>
              <w:top w:val="nil"/>
              <w:left w:val="thinThickSmallGap" w:sz="24" w:space="0" w:color="auto"/>
              <w:bottom w:val="single" w:sz="8" w:space="0" w:color="FFFFFF"/>
              <w:right w:val="single" w:sz="8" w:space="0" w:color="FFFFFF"/>
            </w:tcBorders>
            <w:shd w:val="clear" w:color="000000" w:fill="B7DEE8"/>
            <w:noWrap/>
            <w:vAlign w:val="center"/>
            <w:hideMark/>
          </w:tcPr>
          <w:p w14:paraId="284124D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$111,955</w:t>
            </w:r>
          </w:p>
        </w:tc>
        <w:tc>
          <w:tcPr>
            <w:tcW w:w="590" w:type="pct"/>
            <w:tcBorders>
              <w:top w:val="nil"/>
              <w:left w:val="nil"/>
              <w:bottom w:val="single" w:sz="8" w:space="0" w:color="FFFFFF"/>
              <w:right w:val="single" w:sz="8" w:space="0" w:color="FFFFFF"/>
            </w:tcBorders>
            <w:shd w:val="clear" w:color="000000" w:fill="B7DEE8"/>
            <w:noWrap/>
            <w:vAlign w:val="center"/>
            <w:hideMark/>
          </w:tcPr>
          <w:p w14:paraId="662F2C89"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$122,880</w:t>
            </w:r>
          </w:p>
        </w:tc>
        <w:tc>
          <w:tcPr>
            <w:tcW w:w="651" w:type="pct"/>
            <w:tcBorders>
              <w:top w:val="nil"/>
              <w:left w:val="nil"/>
              <w:bottom w:val="single" w:sz="8" w:space="0" w:color="FFFFFF"/>
              <w:right w:val="single" w:sz="8" w:space="0" w:color="FFFFFF"/>
            </w:tcBorders>
            <w:shd w:val="clear" w:color="000000" w:fill="B7DEE8"/>
            <w:noWrap/>
            <w:vAlign w:val="center"/>
            <w:hideMark/>
          </w:tcPr>
          <w:p w14:paraId="3ACC7B3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$2,428,246</w:t>
            </w:r>
          </w:p>
        </w:tc>
        <w:tc>
          <w:tcPr>
            <w:tcW w:w="643" w:type="pct"/>
            <w:tcBorders>
              <w:top w:val="nil"/>
              <w:left w:val="nil"/>
              <w:bottom w:val="single" w:sz="8" w:space="0" w:color="FFFFFF"/>
              <w:right w:val="single" w:sz="8" w:space="0" w:color="FFFFFF"/>
            </w:tcBorders>
            <w:shd w:val="clear" w:color="000000" w:fill="B7DEE8"/>
            <w:vAlign w:val="center"/>
            <w:hideMark/>
          </w:tcPr>
          <w:p w14:paraId="519F6842"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$2,663,082</w:t>
            </w:r>
          </w:p>
        </w:tc>
        <w:tc>
          <w:tcPr>
            <w:tcW w:w="651" w:type="pct"/>
            <w:tcBorders>
              <w:top w:val="nil"/>
              <w:left w:val="nil"/>
              <w:bottom w:val="single" w:sz="8" w:space="0" w:color="FFFFFF"/>
              <w:right w:val="single" w:sz="8" w:space="0" w:color="FFFFFF"/>
            </w:tcBorders>
            <w:shd w:val="clear" w:color="000000" w:fill="B7DEE8"/>
            <w:vAlign w:val="center"/>
            <w:hideMark/>
          </w:tcPr>
          <w:p w14:paraId="6B6F9B2B"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$2,663,082</w:t>
            </w:r>
          </w:p>
        </w:tc>
        <w:tc>
          <w:tcPr>
            <w:tcW w:w="669" w:type="pct"/>
            <w:tcBorders>
              <w:top w:val="nil"/>
              <w:left w:val="nil"/>
              <w:bottom w:val="single" w:sz="8" w:space="0" w:color="FFFFFF"/>
              <w:right w:val="single" w:sz="8" w:space="0" w:color="FFFFFF"/>
            </w:tcBorders>
            <w:shd w:val="clear" w:color="000000" w:fill="B7DEE8"/>
            <w:vAlign w:val="center"/>
            <w:hideMark/>
          </w:tcPr>
          <w:p w14:paraId="33A0AFBE"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B7DEE8"/>
            <w:vAlign w:val="center"/>
            <w:hideMark/>
          </w:tcPr>
          <w:p w14:paraId="3682CDE3"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6E8D1783"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3F2DD362"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24/25</w:t>
            </w:r>
          </w:p>
        </w:tc>
        <w:tc>
          <w:tcPr>
            <w:tcW w:w="651"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5C13200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590" w:type="pct"/>
            <w:tcBorders>
              <w:top w:val="nil"/>
              <w:left w:val="nil"/>
              <w:bottom w:val="single" w:sz="8" w:space="0" w:color="FFFFFF"/>
              <w:right w:val="single" w:sz="8" w:space="0" w:color="FFFFFF"/>
            </w:tcBorders>
            <w:shd w:val="clear" w:color="000000" w:fill="DAEEF3"/>
            <w:noWrap/>
            <w:vAlign w:val="center"/>
            <w:hideMark/>
          </w:tcPr>
          <w:p w14:paraId="64C0AD0B"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51" w:type="pct"/>
            <w:tcBorders>
              <w:top w:val="nil"/>
              <w:left w:val="nil"/>
              <w:bottom w:val="single" w:sz="8" w:space="0" w:color="FFFFFF"/>
              <w:right w:val="single" w:sz="8" w:space="0" w:color="FFFFFF"/>
            </w:tcBorders>
            <w:shd w:val="clear" w:color="000000" w:fill="DAEEF3"/>
            <w:noWrap/>
            <w:vAlign w:val="center"/>
            <w:hideMark/>
          </w:tcPr>
          <w:p w14:paraId="4EBB6C8A"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$547,677</w:t>
            </w:r>
          </w:p>
        </w:tc>
        <w:tc>
          <w:tcPr>
            <w:tcW w:w="643" w:type="pct"/>
            <w:tcBorders>
              <w:top w:val="nil"/>
              <w:left w:val="nil"/>
              <w:bottom w:val="single" w:sz="8" w:space="0" w:color="FFFFFF"/>
              <w:right w:val="single" w:sz="8" w:space="0" w:color="FFFFFF"/>
            </w:tcBorders>
            <w:shd w:val="clear" w:color="000000" w:fill="DAEEF3"/>
            <w:vAlign w:val="center"/>
            <w:hideMark/>
          </w:tcPr>
          <w:p w14:paraId="073FD96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$547,677</w:t>
            </w:r>
          </w:p>
        </w:tc>
        <w:tc>
          <w:tcPr>
            <w:tcW w:w="651" w:type="pct"/>
            <w:tcBorders>
              <w:top w:val="nil"/>
              <w:left w:val="nil"/>
              <w:bottom w:val="single" w:sz="8" w:space="0" w:color="FFFFFF"/>
              <w:right w:val="single" w:sz="8" w:space="0" w:color="FFFFFF"/>
            </w:tcBorders>
            <w:shd w:val="clear" w:color="000000" w:fill="DAEEF3"/>
            <w:vAlign w:val="center"/>
            <w:hideMark/>
          </w:tcPr>
          <w:p w14:paraId="37841424"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$547,677</w:t>
            </w:r>
          </w:p>
        </w:tc>
        <w:tc>
          <w:tcPr>
            <w:tcW w:w="669" w:type="pct"/>
            <w:tcBorders>
              <w:top w:val="nil"/>
              <w:left w:val="nil"/>
              <w:bottom w:val="single" w:sz="8" w:space="0" w:color="FFFFFF"/>
              <w:right w:val="single" w:sz="8" w:space="0" w:color="FFFFFF"/>
            </w:tcBorders>
            <w:shd w:val="clear" w:color="000000" w:fill="DAEEF3"/>
            <w:vAlign w:val="center"/>
            <w:hideMark/>
          </w:tcPr>
          <w:p w14:paraId="61058D1B"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DAEEF3"/>
            <w:vAlign w:val="center"/>
            <w:hideMark/>
          </w:tcPr>
          <w:p w14:paraId="2D03317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13FDA32C"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35CBFDC4"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25/26</w:t>
            </w:r>
          </w:p>
        </w:tc>
        <w:tc>
          <w:tcPr>
            <w:tcW w:w="651" w:type="pct"/>
            <w:tcBorders>
              <w:top w:val="nil"/>
              <w:left w:val="thinThickSmallGap" w:sz="24" w:space="0" w:color="auto"/>
              <w:bottom w:val="single" w:sz="8" w:space="0" w:color="FFFFFF"/>
              <w:right w:val="single" w:sz="8" w:space="0" w:color="FFFFFF"/>
            </w:tcBorders>
            <w:shd w:val="clear" w:color="000000" w:fill="B7DEE8"/>
            <w:noWrap/>
            <w:vAlign w:val="center"/>
            <w:hideMark/>
          </w:tcPr>
          <w:p w14:paraId="6DD327BC"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$1,176</w:t>
            </w:r>
          </w:p>
        </w:tc>
        <w:tc>
          <w:tcPr>
            <w:tcW w:w="590" w:type="pct"/>
            <w:tcBorders>
              <w:top w:val="nil"/>
              <w:left w:val="nil"/>
              <w:bottom w:val="single" w:sz="8" w:space="0" w:color="FFFFFF"/>
              <w:right w:val="single" w:sz="8" w:space="0" w:color="FFFFFF"/>
            </w:tcBorders>
            <w:shd w:val="clear" w:color="000000" w:fill="B7DEE8"/>
            <w:noWrap/>
            <w:vAlign w:val="center"/>
            <w:hideMark/>
          </w:tcPr>
          <w:p w14:paraId="58A847D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51" w:type="pct"/>
            <w:tcBorders>
              <w:top w:val="nil"/>
              <w:left w:val="nil"/>
              <w:bottom w:val="single" w:sz="8" w:space="0" w:color="FFFFFF"/>
              <w:right w:val="single" w:sz="8" w:space="0" w:color="FFFFFF"/>
            </w:tcBorders>
            <w:shd w:val="clear" w:color="000000" w:fill="B7DEE8"/>
            <w:noWrap/>
            <w:vAlign w:val="center"/>
            <w:hideMark/>
          </w:tcPr>
          <w:p w14:paraId="4AD8D65A"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43" w:type="pct"/>
            <w:tcBorders>
              <w:top w:val="nil"/>
              <w:left w:val="nil"/>
              <w:bottom w:val="single" w:sz="8" w:space="0" w:color="FFFFFF"/>
              <w:right w:val="single" w:sz="8" w:space="0" w:color="FFFFFF"/>
            </w:tcBorders>
            <w:shd w:val="clear" w:color="000000" w:fill="B7DEE8"/>
            <w:vAlign w:val="center"/>
            <w:hideMark/>
          </w:tcPr>
          <w:p w14:paraId="7BA40CF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$1,176</w:t>
            </w:r>
          </w:p>
        </w:tc>
        <w:tc>
          <w:tcPr>
            <w:tcW w:w="651" w:type="pct"/>
            <w:tcBorders>
              <w:top w:val="nil"/>
              <w:left w:val="nil"/>
              <w:bottom w:val="single" w:sz="8" w:space="0" w:color="FFFFFF"/>
              <w:right w:val="single" w:sz="8" w:space="0" w:color="FFFFFF"/>
            </w:tcBorders>
            <w:shd w:val="clear" w:color="000000" w:fill="B7DEE8"/>
            <w:vAlign w:val="center"/>
            <w:hideMark/>
          </w:tcPr>
          <w:p w14:paraId="5F924A80"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$1,176</w:t>
            </w:r>
          </w:p>
        </w:tc>
        <w:tc>
          <w:tcPr>
            <w:tcW w:w="669" w:type="pct"/>
            <w:tcBorders>
              <w:top w:val="nil"/>
              <w:left w:val="nil"/>
              <w:bottom w:val="single" w:sz="8" w:space="0" w:color="FFFFFF"/>
              <w:right w:val="single" w:sz="8" w:space="0" w:color="FFFFFF"/>
            </w:tcBorders>
            <w:shd w:val="clear" w:color="000000" w:fill="B7DEE8"/>
            <w:vAlign w:val="center"/>
            <w:hideMark/>
          </w:tcPr>
          <w:p w14:paraId="0A410A90"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B7DEE8"/>
            <w:vAlign w:val="center"/>
            <w:hideMark/>
          </w:tcPr>
          <w:p w14:paraId="7C3EE5AA"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492D86EE"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04697E91"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26/27</w:t>
            </w:r>
          </w:p>
        </w:tc>
        <w:tc>
          <w:tcPr>
            <w:tcW w:w="651"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5E294143"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$678,808</w:t>
            </w:r>
          </w:p>
        </w:tc>
        <w:tc>
          <w:tcPr>
            <w:tcW w:w="590" w:type="pct"/>
            <w:tcBorders>
              <w:top w:val="nil"/>
              <w:left w:val="nil"/>
              <w:bottom w:val="single" w:sz="8" w:space="0" w:color="FFFFFF"/>
              <w:right w:val="single" w:sz="8" w:space="0" w:color="FFFFFF"/>
            </w:tcBorders>
            <w:shd w:val="clear" w:color="000000" w:fill="DAEEF3"/>
            <w:noWrap/>
            <w:vAlign w:val="center"/>
            <w:hideMark/>
          </w:tcPr>
          <w:p w14:paraId="6FB9973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51" w:type="pct"/>
            <w:tcBorders>
              <w:top w:val="nil"/>
              <w:left w:val="nil"/>
              <w:bottom w:val="single" w:sz="8" w:space="0" w:color="FFFFFF"/>
              <w:right w:val="single" w:sz="8" w:space="0" w:color="FFFFFF"/>
            </w:tcBorders>
            <w:shd w:val="clear" w:color="000000" w:fill="DAEEF3"/>
            <w:noWrap/>
            <w:vAlign w:val="center"/>
            <w:hideMark/>
          </w:tcPr>
          <w:p w14:paraId="3DEAAD5D"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43" w:type="pct"/>
            <w:tcBorders>
              <w:top w:val="nil"/>
              <w:left w:val="nil"/>
              <w:bottom w:val="single" w:sz="8" w:space="0" w:color="FFFFFF"/>
              <w:right w:val="single" w:sz="8" w:space="0" w:color="FFFFFF"/>
            </w:tcBorders>
            <w:shd w:val="clear" w:color="000000" w:fill="DAEEF3"/>
            <w:vAlign w:val="center"/>
            <w:hideMark/>
          </w:tcPr>
          <w:p w14:paraId="6F098BD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$678,808</w:t>
            </w:r>
          </w:p>
        </w:tc>
        <w:tc>
          <w:tcPr>
            <w:tcW w:w="651" w:type="pct"/>
            <w:tcBorders>
              <w:top w:val="nil"/>
              <w:left w:val="nil"/>
              <w:bottom w:val="single" w:sz="8" w:space="0" w:color="FFFFFF"/>
              <w:right w:val="single" w:sz="8" w:space="0" w:color="FFFFFF"/>
            </w:tcBorders>
            <w:shd w:val="clear" w:color="000000" w:fill="DAEEF3"/>
            <w:vAlign w:val="center"/>
            <w:hideMark/>
          </w:tcPr>
          <w:p w14:paraId="5C46CD1C"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$678,808</w:t>
            </w:r>
          </w:p>
        </w:tc>
        <w:tc>
          <w:tcPr>
            <w:tcW w:w="669" w:type="pct"/>
            <w:tcBorders>
              <w:top w:val="nil"/>
              <w:left w:val="nil"/>
              <w:bottom w:val="single" w:sz="8" w:space="0" w:color="FFFFFF"/>
              <w:right w:val="single" w:sz="8" w:space="0" w:color="FFFFFF"/>
            </w:tcBorders>
            <w:shd w:val="clear" w:color="000000" w:fill="DAEEF3"/>
            <w:vAlign w:val="center"/>
            <w:hideMark/>
          </w:tcPr>
          <w:p w14:paraId="23379DE4"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DAEEF3"/>
            <w:vAlign w:val="center"/>
            <w:hideMark/>
          </w:tcPr>
          <w:p w14:paraId="27B0EAD4"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55934B46"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729E2FF9"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27/28</w:t>
            </w:r>
          </w:p>
        </w:tc>
        <w:tc>
          <w:tcPr>
            <w:tcW w:w="651" w:type="pct"/>
            <w:tcBorders>
              <w:top w:val="nil"/>
              <w:left w:val="thinThickSmallGap" w:sz="24" w:space="0" w:color="auto"/>
              <w:bottom w:val="single" w:sz="8" w:space="0" w:color="FFFFFF"/>
              <w:right w:val="single" w:sz="8" w:space="0" w:color="FFFFFF"/>
            </w:tcBorders>
            <w:shd w:val="clear" w:color="000000" w:fill="B7DEE8"/>
            <w:noWrap/>
            <w:vAlign w:val="center"/>
            <w:hideMark/>
          </w:tcPr>
          <w:p w14:paraId="39A369A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$1,112,500</w:t>
            </w:r>
          </w:p>
        </w:tc>
        <w:tc>
          <w:tcPr>
            <w:tcW w:w="590" w:type="pct"/>
            <w:tcBorders>
              <w:top w:val="nil"/>
              <w:left w:val="nil"/>
              <w:bottom w:val="single" w:sz="8" w:space="0" w:color="FFFFFF"/>
              <w:right w:val="single" w:sz="8" w:space="0" w:color="FFFFFF"/>
            </w:tcBorders>
            <w:shd w:val="clear" w:color="000000" w:fill="B7DEE8"/>
            <w:noWrap/>
            <w:vAlign w:val="center"/>
            <w:hideMark/>
          </w:tcPr>
          <w:p w14:paraId="4D1911CB"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$355,093</w:t>
            </w:r>
          </w:p>
        </w:tc>
        <w:tc>
          <w:tcPr>
            <w:tcW w:w="651" w:type="pct"/>
            <w:tcBorders>
              <w:top w:val="nil"/>
              <w:left w:val="nil"/>
              <w:bottom w:val="single" w:sz="8" w:space="0" w:color="FFFFFF"/>
              <w:right w:val="single" w:sz="8" w:space="0" w:color="FFFFFF"/>
            </w:tcBorders>
            <w:shd w:val="clear" w:color="000000" w:fill="B7DEE8"/>
            <w:noWrap/>
            <w:vAlign w:val="center"/>
            <w:hideMark/>
          </w:tcPr>
          <w:p w14:paraId="55CC88B0"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43" w:type="pct"/>
            <w:tcBorders>
              <w:top w:val="nil"/>
              <w:left w:val="nil"/>
              <w:bottom w:val="single" w:sz="8" w:space="0" w:color="FFFFFF"/>
              <w:right w:val="single" w:sz="8" w:space="0" w:color="FFFFFF"/>
            </w:tcBorders>
            <w:shd w:val="clear" w:color="000000" w:fill="B7DEE8"/>
            <w:vAlign w:val="center"/>
            <w:hideMark/>
          </w:tcPr>
          <w:p w14:paraId="22A4B004"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$1,467,593</w:t>
            </w:r>
          </w:p>
        </w:tc>
        <w:tc>
          <w:tcPr>
            <w:tcW w:w="651" w:type="pct"/>
            <w:tcBorders>
              <w:top w:val="nil"/>
              <w:left w:val="nil"/>
              <w:bottom w:val="single" w:sz="8" w:space="0" w:color="FFFFFF"/>
              <w:right w:val="single" w:sz="8" w:space="0" w:color="FFFFFF"/>
            </w:tcBorders>
            <w:shd w:val="clear" w:color="000000" w:fill="B7DEE8"/>
            <w:vAlign w:val="center"/>
            <w:hideMark/>
          </w:tcPr>
          <w:p w14:paraId="2301486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$1,467,593</w:t>
            </w:r>
          </w:p>
        </w:tc>
        <w:tc>
          <w:tcPr>
            <w:tcW w:w="669" w:type="pct"/>
            <w:tcBorders>
              <w:top w:val="nil"/>
              <w:left w:val="nil"/>
              <w:bottom w:val="single" w:sz="8" w:space="0" w:color="FFFFFF"/>
              <w:right w:val="single" w:sz="8" w:space="0" w:color="FFFFFF"/>
            </w:tcBorders>
            <w:shd w:val="clear" w:color="000000" w:fill="B7DEE8"/>
            <w:vAlign w:val="center"/>
            <w:hideMark/>
          </w:tcPr>
          <w:p w14:paraId="0343145A"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B7DEE8"/>
            <w:vAlign w:val="center"/>
            <w:hideMark/>
          </w:tcPr>
          <w:p w14:paraId="3F706303"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$291,568</w:t>
            </w:r>
          </w:p>
        </w:tc>
      </w:tr>
      <w:tr w:rsidR="006976FB" w:rsidRPr="006976FB" w14:paraId="50D65B5A"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0EBB9D77"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28/29</w:t>
            </w:r>
          </w:p>
        </w:tc>
        <w:tc>
          <w:tcPr>
            <w:tcW w:w="651" w:type="pct"/>
            <w:tcBorders>
              <w:top w:val="nil"/>
              <w:left w:val="thinThickSmallGap" w:sz="24" w:space="0" w:color="auto"/>
              <w:bottom w:val="single" w:sz="8" w:space="0" w:color="FFFFFF"/>
              <w:right w:val="single" w:sz="8" w:space="0" w:color="FFFFFF"/>
            </w:tcBorders>
            <w:shd w:val="clear" w:color="000000" w:fill="DAEEF3"/>
            <w:noWrap/>
            <w:vAlign w:val="center"/>
            <w:hideMark/>
          </w:tcPr>
          <w:p w14:paraId="4E949A53"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$904,666</w:t>
            </w:r>
          </w:p>
        </w:tc>
        <w:tc>
          <w:tcPr>
            <w:tcW w:w="590" w:type="pct"/>
            <w:tcBorders>
              <w:top w:val="nil"/>
              <w:left w:val="nil"/>
              <w:bottom w:val="single" w:sz="8" w:space="0" w:color="FFFFFF"/>
              <w:right w:val="single" w:sz="8" w:space="0" w:color="FFFFFF"/>
            </w:tcBorders>
            <w:shd w:val="clear" w:color="000000" w:fill="DAEEF3"/>
            <w:noWrap/>
            <w:vAlign w:val="center"/>
            <w:hideMark/>
          </w:tcPr>
          <w:p w14:paraId="35F12F8E"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$143,483</w:t>
            </w:r>
          </w:p>
        </w:tc>
        <w:tc>
          <w:tcPr>
            <w:tcW w:w="651" w:type="pct"/>
            <w:tcBorders>
              <w:top w:val="nil"/>
              <w:left w:val="nil"/>
              <w:bottom w:val="single" w:sz="8" w:space="0" w:color="FFFFFF"/>
              <w:right w:val="single" w:sz="8" w:space="0" w:color="FFFFFF"/>
            </w:tcBorders>
            <w:shd w:val="clear" w:color="000000" w:fill="DAEEF3"/>
            <w:noWrap/>
            <w:vAlign w:val="center"/>
            <w:hideMark/>
          </w:tcPr>
          <w:p w14:paraId="00BA266B"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43" w:type="pct"/>
            <w:tcBorders>
              <w:top w:val="nil"/>
              <w:left w:val="nil"/>
              <w:bottom w:val="single" w:sz="8" w:space="0" w:color="FFFFFF"/>
              <w:right w:val="single" w:sz="8" w:space="0" w:color="FFFFFF"/>
            </w:tcBorders>
            <w:shd w:val="clear" w:color="000000" w:fill="DAEEF3"/>
            <w:vAlign w:val="center"/>
            <w:hideMark/>
          </w:tcPr>
          <w:p w14:paraId="00608375"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$1,048,150</w:t>
            </w:r>
          </w:p>
        </w:tc>
        <w:tc>
          <w:tcPr>
            <w:tcW w:w="651" w:type="pct"/>
            <w:tcBorders>
              <w:top w:val="nil"/>
              <w:left w:val="nil"/>
              <w:bottom w:val="single" w:sz="8" w:space="0" w:color="FFFFFF"/>
              <w:right w:val="single" w:sz="8" w:space="0" w:color="FFFFFF"/>
            </w:tcBorders>
            <w:shd w:val="clear" w:color="000000" w:fill="DAEEF3"/>
            <w:noWrap/>
            <w:vAlign w:val="bottom"/>
            <w:hideMark/>
          </w:tcPr>
          <w:p w14:paraId="119FD5E8"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$1,048,150</w:t>
            </w:r>
          </w:p>
        </w:tc>
        <w:tc>
          <w:tcPr>
            <w:tcW w:w="669" w:type="pct"/>
            <w:tcBorders>
              <w:top w:val="nil"/>
              <w:left w:val="nil"/>
              <w:bottom w:val="single" w:sz="8" w:space="0" w:color="FFFFFF"/>
              <w:right w:val="single" w:sz="8" w:space="0" w:color="FFFFFF"/>
            </w:tcBorders>
            <w:shd w:val="clear" w:color="000000" w:fill="DAEEF3"/>
            <w:vAlign w:val="center"/>
            <w:hideMark/>
          </w:tcPr>
          <w:p w14:paraId="3BDDDF50"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DAEEF3"/>
            <w:noWrap/>
            <w:vAlign w:val="bottom"/>
            <w:hideMark/>
          </w:tcPr>
          <w:p w14:paraId="49CCCCB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5A066B4C" w14:textId="77777777" w:rsidTr="00FF0D88">
        <w:trPr>
          <w:trHeight w:val="330"/>
        </w:trPr>
        <w:tc>
          <w:tcPr>
            <w:tcW w:w="423" w:type="pct"/>
            <w:tcBorders>
              <w:top w:val="single" w:sz="8" w:space="0" w:color="FFFFFF"/>
              <w:left w:val="single" w:sz="8" w:space="0" w:color="auto"/>
              <w:bottom w:val="single" w:sz="8" w:space="0" w:color="FFFFFF"/>
              <w:right w:val="thinThickSmallGap" w:sz="24" w:space="0" w:color="auto"/>
            </w:tcBorders>
            <w:shd w:val="clear" w:color="000000" w:fill="4BACC6"/>
            <w:vAlign w:val="center"/>
            <w:hideMark/>
          </w:tcPr>
          <w:p w14:paraId="4A7B617D" w14:textId="77777777" w:rsidR="006976FB" w:rsidRPr="006976FB" w:rsidRDefault="006976FB" w:rsidP="006976FB">
            <w:pPr>
              <w:spacing w:after="0" w:line="240" w:lineRule="auto"/>
              <w:jc w:val="center"/>
              <w:rPr>
                <w:rFonts w:ascii="Arial Narrow" w:hAnsi="Arial Narrow"/>
                <w:color w:val="FFFFFF"/>
                <w:szCs w:val="24"/>
                <w:lang w:eastAsia="en-AU"/>
              </w:rPr>
            </w:pPr>
            <w:r w:rsidRPr="006976FB">
              <w:rPr>
                <w:rFonts w:ascii="Arial Narrow" w:hAnsi="Arial Narrow"/>
                <w:color w:val="FFFFFF"/>
                <w:szCs w:val="24"/>
                <w:lang w:eastAsia="en-AU"/>
              </w:rPr>
              <w:t>29/30</w:t>
            </w:r>
          </w:p>
        </w:tc>
        <w:tc>
          <w:tcPr>
            <w:tcW w:w="651" w:type="pct"/>
            <w:tcBorders>
              <w:top w:val="nil"/>
              <w:left w:val="thinThickSmallGap" w:sz="24" w:space="0" w:color="auto"/>
              <w:bottom w:val="single" w:sz="8" w:space="0" w:color="FFFFFF"/>
              <w:right w:val="single" w:sz="8" w:space="0" w:color="FFFFFF"/>
            </w:tcBorders>
            <w:shd w:val="clear" w:color="000000" w:fill="B7DEE8"/>
            <w:noWrap/>
            <w:vAlign w:val="center"/>
            <w:hideMark/>
          </w:tcPr>
          <w:p w14:paraId="7A57D16C"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$588,243</w:t>
            </w:r>
          </w:p>
        </w:tc>
        <w:tc>
          <w:tcPr>
            <w:tcW w:w="590" w:type="pct"/>
            <w:tcBorders>
              <w:top w:val="nil"/>
              <w:left w:val="nil"/>
              <w:bottom w:val="single" w:sz="8" w:space="0" w:color="FFFFFF"/>
              <w:right w:val="single" w:sz="8" w:space="0" w:color="FFFFFF"/>
            </w:tcBorders>
            <w:shd w:val="clear" w:color="000000" w:fill="B7DEE8"/>
            <w:noWrap/>
            <w:vAlign w:val="center"/>
            <w:hideMark/>
          </w:tcPr>
          <w:p w14:paraId="160A1459"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$512,840</w:t>
            </w:r>
          </w:p>
        </w:tc>
        <w:tc>
          <w:tcPr>
            <w:tcW w:w="651" w:type="pct"/>
            <w:tcBorders>
              <w:top w:val="nil"/>
              <w:left w:val="nil"/>
              <w:bottom w:val="single" w:sz="8" w:space="0" w:color="FFFFFF"/>
              <w:right w:val="single" w:sz="8" w:space="0" w:color="FFFFFF"/>
            </w:tcBorders>
            <w:shd w:val="clear" w:color="000000" w:fill="B7DEE8"/>
            <w:noWrap/>
            <w:vAlign w:val="center"/>
            <w:hideMark/>
          </w:tcPr>
          <w:p w14:paraId="1BBB546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$0</w:t>
            </w:r>
          </w:p>
        </w:tc>
        <w:tc>
          <w:tcPr>
            <w:tcW w:w="643" w:type="pct"/>
            <w:tcBorders>
              <w:top w:val="nil"/>
              <w:left w:val="nil"/>
              <w:bottom w:val="single" w:sz="8" w:space="0" w:color="FFFFFF"/>
              <w:right w:val="single" w:sz="8" w:space="0" w:color="FFFFFF"/>
            </w:tcBorders>
            <w:shd w:val="clear" w:color="000000" w:fill="B7DEE8"/>
            <w:vAlign w:val="center"/>
            <w:hideMark/>
          </w:tcPr>
          <w:p w14:paraId="7CA1C47D"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$1,101,083</w:t>
            </w:r>
          </w:p>
        </w:tc>
        <w:tc>
          <w:tcPr>
            <w:tcW w:w="651" w:type="pct"/>
            <w:tcBorders>
              <w:top w:val="nil"/>
              <w:left w:val="nil"/>
              <w:bottom w:val="single" w:sz="8" w:space="0" w:color="FFFFFF"/>
              <w:right w:val="single" w:sz="8" w:space="0" w:color="FFFFFF"/>
            </w:tcBorders>
            <w:shd w:val="clear" w:color="000000" w:fill="B7DEE8"/>
            <w:noWrap/>
            <w:vAlign w:val="bottom"/>
            <w:hideMark/>
          </w:tcPr>
          <w:p w14:paraId="64FBDDC7"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$1,101,083</w:t>
            </w:r>
          </w:p>
        </w:tc>
        <w:tc>
          <w:tcPr>
            <w:tcW w:w="669" w:type="pct"/>
            <w:tcBorders>
              <w:top w:val="nil"/>
              <w:left w:val="nil"/>
              <w:bottom w:val="single" w:sz="8" w:space="0" w:color="FFFFFF"/>
              <w:right w:val="single" w:sz="8" w:space="0" w:color="FFFFFF"/>
            </w:tcBorders>
            <w:shd w:val="clear" w:color="000000" w:fill="B7DEE8"/>
            <w:vAlign w:val="center"/>
            <w:hideMark/>
          </w:tcPr>
          <w:p w14:paraId="2D780A90" w14:textId="77777777" w:rsidR="006976FB" w:rsidRPr="006976FB" w:rsidRDefault="006976FB" w:rsidP="006976FB">
            <w:pPr>
              <w:spacing w:after="0" w:line="240" w:lineRule="auto"/>
              <w:jc w:val="center"/>
              <w:rPr>
                <w:rFonts w:ascii="Arial Narrow" w:hAnsi="Arial Narrow"/>
                <w:szCs w:val="24"/>
                <w:lang w:eastAsia="en-AU"/>
              </w:rPr>
            </w:pPr>
            <w:r w:rsidRPr="006976FB">
              <w:rPr>
                <w:rFonts w:ascii="Arial Narrow" w:hAnsi="Arial Narrow"/>
                <w:szCs w:val="24"/>
                <w:lang w:eastAsia="en-AU"/>
              </w:rPr>
              <w:t>$0</w:t>
            </w:r>
          </w:p>
        </w:tc>
        <w:tc>
          <w:tcPr>
            <w:tcW w:w="722" w:type="pct"/>
            <w:tcBorders>
              <w:top w:val="nil"/>
              <w:left w:val="nil"/>
              <w:bottom w:val="single" w:sz="8" w:space="0" w:color="FFFFFF"/>
              <w:right w:val="single" w:sz="8" w:space="0" w:color="auto"/>
            </w:tcBorders>
            <w:shd w:val="clear" w:color="000000" w:fill="B7DEE8"/>
            <w:noWrap/>
            <w:vAlign w:val="bottom"/>
            <w:hideMark/>
          </w:tcPr>
          <w:p w14:paraId="713A0609" w14:textId="77777777" w:rsidR="006976FB" w:rsidRPr="006976FB" w:rsidRDefault="006976FB" w:rsidP="006976FB">
            <w:pPr>
              <w:spacing w:after="0" w:line="240" w:lineRule="auto"/>
              <w:jc w:val="center"/>
              <w:rPr>
                <w:rFonts w:ascii="Arial Narrow" w:hAnsi="Arial Narrow"/>
                <w:color w:val="000000"/>
                <w:szCs w:val="24"/>
                <w:lang w:eastAsia="en-AU"/>
              </w:rPr>
            </w:pPr>
            <w:r w:rsidRPr="006976FB">
              <w:rPr>
                <w:rFonts w:ascii="Arial Narrow" w:hAnsi="Arial Narrow"/>
                <w:color w:val="000000"/>
                <w:szCs w:val="24"/>
                <w:lang w:eastAsia="en-AU"/>
              </w:rPr>
              <w:t>$291,568</w:t>
            </w:r>
          </w:p>
        </w:tc>
      </w:tr>
      <w:tr w:rsidR="006976FB" w:rsidRPr="006976FB" w14:paraId="2BC6B996" w14:textId="77777777" w:rsidTr="00FF0D88">
        <w:trPr>
          <w:trHeight w:val="330"/>
        </w:trPr>
        <w:tc>
          <w:tcPr>
            <w:tcW w:w="423" w:type="pct"/>
            <w:tcBorders>
              <w:top w:val="single" w:sz="8" w:space="0" w:color="FFFFFF"/>
              <w:left w:val="single" w:sz="8" w:space="0" w:color="auto"/>
              <w:bottom w:val="single" w:sz="8" w:space="0" w:color="auto"/>
              <w:right w:val="thinThickSmallGap" w:sz="24" w:space="0" w:color="auto"/>
            </w:tcBorders>
            <w:shd w:val="clear" w:color="000000" w:fill="4BACC6"/>
            <w:vAlign w:val="center"/>
            <w:hideMark/>
          </w:tcPr>
          <w:p w14:paraId="434F2F55" w14:textId="77777777" w:rsidR="006976FB" w:rsidRPr="006976FB" w:rsidRDefault="006976FB" w:rsidP="006976FB">
            <w:pPr>
              <w:spacing w:after="0" w:line="240" w:lineRule="auto"/>
              <w:jc w:val="center"/>
              <w:rPr>
                <w:rFonts w:ascii="Arial Narrow" w:hAnsi="Arial Narrow"/>
                <w:b/>
                <w:bCs/>
                <w:color w:val="FFFFFF"/>
                <w:szCs w:val="24"/>
                <w:lang w:eastAsia="en-AU"/>
              </w:rPr>
            </w:pPr>
            <w:r w:rsidRPr="006976FB">
              <w:rPr>
                <w:rFonts w:ascii="Arial Narrow" w:hAnsi="Arial Narrow"/>
                <w:b/>
                <w:bCs/>
                <w:color w:val="FFFFFF"/>
                <w:szCs w:val="24"/>
                <w:lang w:eastAsia="en-AU"/>
              </w:rPr>
              <w:t>Total</w:t>
            </w:r>
          </w:p>
        </w:tc>
        <w:tc>
          <w:tcPr>
            <w:tcW w:w="651" w:type="pct"/>
            <w:tcBorders>
              <w:top w:val="nil"/>
              <w:left w:val="thinThickSmallGap" w:sz="24" w:space="0" w:color="auto"/>
              <w:bottom w:val="single" w:sz="8" w:space="0" w:color="auto"/>
              <w:right w:val="single" w:sz="8" w:space="0" w:color="FFFFFF"/>
            </w:tcBorders>
            <w:shd w:val="clear" w:color="000000" w:fill="4BACC6"/>
            <w:noWrap/>
            <w:vAlign w:val="center"/>
            <w:hideMark/>
          </w:tcPr>
          <w:p w14:paraId="4FD798DC"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$4,170,829</w:t>
            </w:r>
          </w:p>
        </w:tc>
        <w:tc>
          <w:tcPr>
            <w:tcW w:w="590" w:type="pct"/>
            <w:tcBorders>
              <w:top w:val="nil"/>
              <w:left w:val="nil"/>
              <w:bottom w:val="single" w:sz="8" w:space="0" w:color="auto"/>
              <w:right w:val="single" w:sz="8" w:space="0" w:color="FFFFFF"/>
            </w:tcBorders>
            <w:shd w:val="clear" w:color="000000" w:fill="4BACC6"/>
            <w:noWrap/>
            <w:vAlign w:val="center"/>
            <w:hideMark/>
          </w:tcPr>
          <w:p w14:paraId="1D10069E"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$1,190,393</w:t>
            </w:r>
          </w:p>
        </w:tc>
        <w:tc>
          <w:tcPr>
            <w:tcW w:w="651" w:type="pct"/>
            <w:tcBorders>
              <w:top w:val="nil"/>
              <w:left w:val="nil"/>
              <w:bottom w:val="single" w:sz="8" w:space="0" w:color="auto"/>
              <w:right w:val="single" w:sz="8" w:space="0" w:color="FFFFFF"/>
            </w:tcBorders>
            <w:shd w:val="clear" w:color="000000" w:fill="4BACC6"/>
            <w:noWrap/>
            <w:vAlign w:val="center"/>
            <w:hideMark/>
          </w:tcPr>
          <w:p w14:paraId="0ADA94F2"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$5,963,724</w:t>
            </w:r>
          </w:p>
        </w:tc>
        <w:tc>
          <w:tcPr>
            <w:tcW w:w="643" w:type="pct"/>
            <w:tcBorders>
              <w:top w:val="nil"/>
              <w:left w:val="nil"/>
              <w:bottom w:val="single" w:sz="8" w:space="0" w:color="auto"/>
              <w:right w:val="single" w:sz="8" w:space="0" w:color="FFFFFF"/>
            </w:tcBorders>
            <w:shd w:val="clear" w:color="000000" w:fill="4BACC6"/>
            <w:noWrap/>
            <w:vAlign w:val="center"/>
            <w:hideMark/>
          </w:tcPr>
          <w:p w14:paraId="7E90CE91"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$11,324,945</w:t>
            </w:r>
          </w:p>
        </w:tc>
        <w:tc>
          <w:tcPr>
            <w:tcW w:w="651" w:type="pct"/>
            <w:tcBorders>
              <w:top w:val="nil"/>
              <w:left w:val="nil"/>
              <w:bottom w:val="single" w:sz="8" w:space="0" w:color="auto"/>
              <w:right w:val="single" w:sz="8" w:space="0" w:color="FFFFFF"/>
            </w:tcBorders>
            <w:shd w:val="clear" w:color="000000" w:fill="4BACC6"/>
            <w:noWrap/>
            <w:vAlign w:val="center"/>
            <w:hideMark/>
          </w:tcPr>
          <w:p w14:paraId="14519BE5"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$11,033,377</w:t>
            </w:r>
          </w:p>
        </w:tc>
        <w:tc>
          <w:tcPr>
            <w:tcW w:w="669" w:type="pct"/>
            <w:tcBorders>
              <w:top w:val="nil"/>
              <w:left w:val="nil"/>
              <w:bottom w:val="single" w:sz="8" w:space="0" w:color="auto"/>
              <w:right w:val="single" w:sz="8" w:space="0" w:color="FFFFFF"/>
            </w:tcBorders>
            <w:shd w:val="clear" w:color="000000" w:fill="4BACC6"/>
            <w:noWrap/>
            <w:vAlign w:val="center"/>
            <w:hideMark/>
          </w:tcPr>
          <w:p w14:paraId="19D6668D" w14:textId="77777777" w:rsidR="006976FB" w:rsidRPr="006976FB" w:rsidRDefault="006976FB" w:rsidP="006976FB">
            <w:pPr>
              <w:spacing w:after="0" w:line="240" w:lineRule="auto"/>
              <w:jc w:val="center"/>
              <w:rPr>
                <w:rFonts w:ascii="Arial Narrow" w:hAnsi="Arial Narrow"/>
                <w:b/>
                <w:bCs/>
                <w:szCs w:val="24"/>
                <w:lang w:eastAsia="en-AU"/>
              </w:rPr>
            </w:pPr>
            <w:r w:rsidRPr="006976FB">
              <w:rPr>
                <w:rFonts w:ascii="Arial Narrow" w:hAnsi="Arial Narrow"/>
                <w:b/>
                <w:bCs/>
                <w:szCs w:val="24"/>
                <w:lang w:eastAsia="en-AU"/>
              </w:rPr>
              <w:t>$291,568</w:t>
            </w:r>
          </w:p>
        </w:tc>
        <w:tc>
          <w:tcPr>
            <w:tcW w:w="722" w:type="pct"/>
            <w:tcBorders>
              <w:top w:val="nil"/>
              <w:left w:val="nil"/>
              <w:bottom w:val="single" w:sz="8" w:space="0" w:color="auto"/>
              <w:right w:val="single" w:sz="8" w:space="0" w:color="auto"/>
            </w:tcBorders>
            <w:shd w:val="clear" w:color="000000" w:fill="4BACC6"/>
            <w:noWrap/>
            <w:vAlign w:val="center"/>
            <w:hideMark/>
          </w:tcPr>
          <w:p w14:paraId="5128F834" w14:textId="77777777" w:rsidR="006976FB" w:rsidRPr="006976FB" w:rsidRDefault="006976FB" w:rsidP="006976FB">
            <w:pPr>
              <w:spacing w:after="0" w:line="240" w:lineRule="auto"/>
              <w:jc w:val="center"/>
              <w:rPr>
                <w:rFonts w:ascii="Arial Narrow" w:hAnsi="Arial Narrow"/>
                <w:b/>
                <w:bCs/>
                <w:color w:val="000000"/>
                <w:szCs w:val="24"/>
                <w:lang w:eastAsia="en-AU"/>
              </w:rPr>
            </w:pPr>
            <w:r w:rsidRPr="006976FB">
              <w:rPr>
                <w:rFonts w:ascii="Arial Narrow" w:hAnsi="Arial Narrow"/>
                <w:b/>
                <w:bCs/>
                <w:color w:val="000000"/>
                <w:szCs w:val="24"/>
                <w:lang w:eastAsia="en-AU"/>
              </w:rPr>
              <w:t> </w:t>
            </w:r>
          </w:p>
        </w:tc>
      </w:tr>
    </w:tbl>
    <w:p w14:paraId="01CA690B" w14:textId="77777777" w:rsidR="00051A19" w:rsidRDefault="00051A19" w:rsidP="00AD53DA">
      <w:pPr>
        <w:pStyle w:val="BodyText"/>
        <w:spacing w:after="120"/>
        <w:ind w:right="375"/>
        <w:rPr>
          <w:rFonts w:cs="Arial"/>
          <w:szCs w:val="24"/>
        </w:rPr>
      </w:pPr>
    </w:p>
    <w:p w14:paraId="4D2C6B4A" w14:textId="77777777" w:rsidR="00E80A46" w:rsidRPr="00472B90" w:rsidRDefault="005571A6" w:rsidP="00472B90">
      <w:pPr>
        <w:pStyle w:val="BodyText"/>
        <w:ind w:right="375"/>
        <w:jc w:val="left"/>
        <w:rPr>
          <w:rFonts w:cs="Arial"/>
          <w:szCs w:val="24"/>
        </w:rPr>
      </w:pPr>
      <w:r>
        <w:rPr>
          <w:rFonts w:cs="Arial"/>
          <w:szCs w:val="24"/>
        </w:rPr>
        <w:t>The 10 year funding gap for footpath infrastructure is a deficit of $1</w:t>
      </w:r>
      <w:r w:rsidR="00CF14C8">
        <w:rPr>
          <w:rFonts w:cs="Arial"/>
          <w:szCs w:val="24"/>
        </w:rPr>
        <w:t>75,891.</w:t>
      </w:r>
    </w:p>
    <w:p w14:paraId="3C1CDABD" w14:textId="77777777" w:rsidR="00FA5036" w:rsidRPr="00EA6639" w:rsidRDefault="00FA5036" w:rsidP="00140CAE">
      <w:pPr>
        <w:pStyle w:val="Heading2"/>
      </w:pPr>
      <w:bookmarkStart w:id="47" w:name="_Toc56419082"/>
      <w:r w:rsidRPr="00EA6639">
        <w:t>6.2</w:t>
      </w:r>
      <w:r w:rsidRPr="00EA6639">
        <w:tab/>
        <w:t>Funding Strategy</w:t>
      </w:r>
      <w:bookmarkEnd w:id="47"/>
    </w:p>
    <w:p w14:paraId="3A0061DF" w14:textId="77777777" w:rsidR="003F7FFC" w:rsidRPr="00375695" w:rsidRDefault="003F7FFC" w:rsidP="00CC57A5">
      <w:pPr>
        <w:pStyle w:val="BodyText"/>
        <w:spacing w:after="120"/>
      </w:pPr>
      <w:r w:rsidRPr="00375695">
        <w:rPr>
          <w:rFonts w:eastAsia="+mn-ea"/>
          <w:szCs w:val="24"/>
        </w:rPr>
        <w:t xml:space="preserve">Projected expenditure identified in Section 6.1 is to be funded from the City’s capital budgets. The funding strategy is detailed in the </w:t>
      </w:r>
      <w:r w:rsidRPr="003F7FFC">
        <w:rPr>
          <w:rFonts w:eastAsia="+mn-ea"/>
          <w:szCs w:val="24"/>
        </w:rPr>
        <w:t xml:space="preserve">City’s </w:t>
      </w:r>
      <w:r w:rsidRPr="003F7FFC">
        <w:t>Long</w:t>
      </w:r>
      <w:r w:rsidRPr="00375695">
        <w:rPr>
          <w:szCs w:val="24"/>
        </w:rPr>
        <w:t xml:space="preserve"> Term Financial Plan 2019-2020 to 2029-2030.</w:t>
      </w:r>
    </w:p>
    <w:p w14:paraId="3BB7805A" w14:textId="77777777" w:rsidR="007A7001" w:rsidRPr="00801574" w:rsidRDefault="007A7001" w:rsidP="00CC57A5">
      <w:pPr>
        <w:pStyle w:val="BodyText"/>
        <w:spacing w:after="120"/>
        <w:rPr>
          <w:rFonts w:eastAsia="+mn-ea"/>
          <w:szCs w:val="24"/>
        </w:rPr>
      </w:pPr>
      <w:r w:rsidRPr="00375695">
        <w:rPr>
          <w:szCs w:val="24"/>
        </w:rPr>
        <w:t>In order to provide effective management of</w:t>
      </w:r>
      <w:r w:rsidR="00721DD8">
        <w:rPr>
          <w:szCs w:val="24"/>
        </w:rPr>
        <w:t xml:space="preserve"> the</w:t>
      </w:r>
      <w:r w:rsidRPr="00375695">
        <w:rPr>
          <w:szCs w:val="24"/>
        </w:rPr>
        <w:t xml:space="preserve"> footpath asset base it is imperative that LTFP funding strategies are adequate and timely to support asset renewal projections and new projects outlined within the </w:t>
      </w:r>
      <w:r w:rsidR="00597AD8" w:rsidRPr="00375695">
        <w:rPr>
          <w:szCs w:val="24"/>
        </w:rPr>
        <w:t>FAMP</w:t>
      </w:r>
      <w:r w:rsidRPr="00375695">
        <w:rPr>
          <w:szCs w:val="24"/>
        </w:rPr>
        <w:t>.</w:t>
      </w:r>
    </w:p>
    <w:p w14:paraId="09C3DC75" w14:textId="77777777" w:rsidR="00FA5036" w:rsidRPr="00EA6639" w:rsidRDefault="00FA5036" w:rsidP="00CC57A5">
      <w:pPr>
        <w:pStyle w:val="BodyText"/>
        <w:ind w:right="375"/>
        <w:rPr>
          <w:rFonts w:cs="Arial"/>
          <w:szCs w:val="24"/>
          <w:lang w:eastAsia="en-AU"/>
        </w:rPr>
      </w:pPr>
      <w:r w:rsidRPr="00EA6639">
        <w:rPr>
          <w:rFonts w:cs="Arial"/>
          <w:szCs w:val="24"/>
          <w:lang w:eastAsia="en-AU"/>
        </w:rPr>
        <w:t>The City relies heavily on the provision of road funding from other sources including the Federal and State Governments. Additionally, under the Local Government Act (1995) the City can levy developers to provide a contribution to road funding, where this is directly linked to their development activities. The City has been receiving funds from this source for many years.</w:t>
      </w:r>
    </w:p>
    <w:p w14:paraId="39ED2D3A" w14:textId="77777777" w:rsidR="00FA5036" w:rsidRPr="008270DA" w:rsidRDefault="001B3973" w:rsidP="00140CAE">
      <w:pPr>
        <w:pStyle w:val="Heading2"/>
      </w:pPr>
      <w:bookmarkStart w:id="48" w:name="_Toc56419083"/>
      <w:r>
        <w:t>6.3</w:t>
      </w:r>
      <w:r w:rsidR="00FA5036" w:rsidRPr="008270DA">
        <w:tab/>
        <w:t>Sustainability of service delivery</w:t>
      </w:r>
      <w:bookmarkEnd w:id="48"/>
    </w:p>
    <w:p w14:paraId="5AECD0CD" w14:textId="77777777" w:rsidR="00FA5036" w:rsidRDefault="00FA5036" w:rsidP="00AD53DA">
      <w:pPr>
        <w:pStyle w:val="ListParagraph"/>
        <w:ind w:left="0" w:right="375"/>
        <w:rPr>
          <w:rFonts w:cs="Arial"/>
          <w:szCs w:val="24"/>
        </w:rPr>
      </w:pPr>
      <w:r w:rsidRPr="008270DA">
        <w:rPr>
          <w:rFonts w:cs="Arial"/>
          <w:szCs w:val="24"/>
        </w:rPr>
        <w:t xml:space="preserve">There are three key performance indicators for financial sustainability as recommended in the </w:t>
      </w:r>
      <w:r w:rsidR="005C1F21">
        <w:rPr>
          <w:rFonts w:cs="Arial"/>
          <w:szCs w:val="24"/>
        </w:rPr>
        <w:t xml:space="preserve">Department of Local Government (LG) Asset Management </w:t>
      </w:r>
      <w:r w:rsidRPr="008270DA">
        <w:rPr>
          <w:rFonts w:cs="Arial"/>
          <w:szCs w:val="24"/>
        </w:rPr>
        <w:t xml:space="preserve">National Framework </w:t>
      </w:r>
      <w:r w:rsidR="00DD5642">
        <w:rPr>
          <w:rFonts w:cs="Arial"/>
          <w:szCs w:val="24"/>
        </w:rPr>
        <w:t>and G</w:t>
      </w:r>
      <w:r w:rsidRPr="008270DA">
        <w:rPr>
          <w:rFonts w:cs="Arial"/>
          <w:szCs w:val="24"/>
        </w:rPr>
        <w:t>uidelines that have been co</w:t>
      </w:r>
      <w:r w:rsidR="006A54FA">
        <w:rPr>
          <w:rFonts w:cs="Arial"/>
          <w:szCs w:val="24"/>
        </w:rPr>
        <w:t>nsidered in the analysis of the</w:t>
      </w:r>
      <w:r w:rsidRPr="008270DA">
        <w:rPr>
          <w:rFonts w:cs="Arial"/>
          <w:szCs w:val="24"/>
        </w:rPr>
        <w:t xml:space="preserve"> Footpath </w:t>
      </w:r>
      <w:r w:rsidR="00DD5642">
        <w:rPr>
          <w:rFonts w:cs="Arial"/>
          <w:szCs w:val="24"/>
        </w:rPr>
        <w:t xml:space="preserve">infrastructure </w:t>
      </w:r>
      <w:r w:rsidRPr="008270DA">
        <w:rPr>
          <w:rFonts w:cs="Arial"/>
          <w:szCs w:val="24"/>
        </w:rPr>
        <w:t xml:space="preserve">financial data. </w:t>
      </w:r>
    </w:p>
    <w:p w14:paraId="4A13344B" w14:textId="77777777" w:rsidR="00491135" w:rsidRPr="007C12B2" w:rsidRDefault="00491135" w:rsidP="00491135">
      <w:pPr>
        <w:pStyle w:val="BodyText"/>
        <w:rPr>
          <w:szCs w:val="24"/>
        </w:rPr>
      </w:pPr>
      <w:r w:rsidRPr="007C12B2">
        <w:rPr>
          <w:szCs w:val="24"/>
        </w:rPr>
        <w:lastRenderedPageBreak/>
        <w:t xml:space="preserve">The aim of the Framework is to enhance the sustainable management of </w:t>
      </w:r>
      <w:r>
        <w:rPr>
          <w:szCs w:val="24"/>
        </w:rPr>
        <w:t>L</w:t>
      </w:r>
      <w:r w:rsidRPr="007C12B2">
        <w:rPr>
          <w:szCs w:val="24"/>
        </w:rPr>
        <w:t xml:space="preserve">ocal </w:t>
      </w:r>
      <w:r>
        <w:rPr>
          <w:szCs w:val="24"/>
        </w:rPr>
        <w:t>G</w:t>
      </w:r>
      <w:r w:rsidRPr="007C12B2">
        <w:rPr>
          <w:szCs w:val="24"/>
        </w:rPr>
        <w:t>overnment assets by encouraging ‘whole of life’ and ‘whole of organisation’ approaches and the effective identification and management of risks associated with the use of the assets.</w:t>
      </w:r>
    </w:p>
    <w:p w14:paraId="5DCA09B2" w14:textId="77777777" w:rsidR="00FA5036" w:rsidRPr="006F08FA" w:rsidRDefault="001B3973" w:rsidP="00AD53DA">
      <w:pPr>
        <w:pStyle w:val="Heading3"/>
        <w:ind w:right="375"/>
        <w:rPr>
          <w:color w:val="0070C0"/>
        </w:rPr>
      </w:pPr>
      <w:bookmarkStart w:id="49" w:name="_Toc56419084"/>
      <w:r w:rsidRPr="006F08FA">
        <w:rPr>
          <w:color w:val="0070C0"/>
        </w:rPr>
        <w:t>6.3.1</w:t>
      </w:r>
      <w:r w:rsidRPr="006F08FA">
        <w:rPr>
          <w:color w:val="0070C0"/>
        </w:rPr>
        <w:tab/>
      </w:r>
      <w:r w:rsidR="00FA5036" w:rsidRPr="006F08FA">
        <w:rPr>
          <w:color w:val="0070C0"/>
        </w:rPr>
        <w:t xml:space="preserve">Asset </w:t>
      </w:r>
      <w:r w:rsidR="00ED3573" w:rsidRPr="006F08FA">
        <w:rPr>
          <w:color w:val="0070C0"/>
        </w:rPr>
        <w:t>C</w:t>
      </w:r>
      <w:r w:rsidR="00FA5036" w:rsidRPr="006F08FA">
        <w:rPr>
          <w:color w:val="0070C0"/>
        </w:rPr>
        <w:t xml:space="preserve">onsumption </w:t>
      </w:r>
      <w:r w:rsidR="00ED3573" w:rsidRPr="006F08FA">
        <w:rPr>
          <w:color w:val="0070C0"/>
        </w:rPr>
        <w:t>R</w:t>
      </w:r>
      <w:r w:rsidR="00FA5036" w:rsidRPr="006F08FA">
        <w:rPr>
          <w:color w:val="0070C0"/>
        </w:rPr>
        <w:t>atio</w:t>
      </w:r>
      <w:r w:rsidR="00ED3573" w:rsidRPr="006F08FA">
        <w:rPr>
          <w:color w:val="0070C0"/>
        </w:rPr>
        <w:t xml:space="preserve"> (ACR)</w:t>
      </w:r>
      <w:bookmarkEnd w:id="49"/>
    </w:p>
    <w:p w14:paraId="2AE2D372" w14:textId="77777777" w:rsidR="002A3CFC" w:rsidRPr="00375695" w:rsidRDefault="002A3CFC" w:rsidP="00A06614">
      <w:pPr>
        <w:pStyle w:val="ListParagraph"/>
        <w:numPr>
          <w:ilvl w:val="0"/>
          <w:numId w:val="27"/>
        </w:numPr>
        <w:spacing w:before="240" w:after="200"/>
        <w:rPr>
          <w:rFonts w:eastAsia="+mn-ea"/>
          <w:szCs w:val="24"/>
        </w:rPr>
      </w:pPr>
      <w:r w:rsidRPr="00375695">
        <w:rPr>
          <w:rFonts w:eastAsia="+mn-ea"/>
          <w:szCs w:val="24"/>
        </w:rPr>
        <w:t>This ratio shows the written down current value of the City’s depreciable assets relative to their ‘as new’ value in up to date prices.</w:t>
      </w:r>
    </w:p>
    <w:p w14:paraId="5AD697D3" w14:textId="77777777" w:rsidR="002A3CFC" w:rsidRPr="002A3CFC" w:rsidRDefault="002A3CFC" w:rsidP="00A06614">
      <w:pPr>
        <w:pStyle w:val="ListParagraph"/>
        <w:numPr>
          <w:ilvl w:val="0"/>
          <w:numId w:val="27"/>
        </w:numPr>
        <w:spacing w:before="240" w:after="200"/>
        <w:rPr>
          <w:rFonts w:eastAsia="+mn-ea"/>
          <w:szCs w:val="24"/>
        </w:rPr>
      </w:pPr>
      <w:r w:rsidRPr="00375695">
        <w:rPr>
          <w:rFonts w:eastAsia="+mn-ea"/>
          <w:szCs w:val="24"/>
        </w:rPr>
        <w:t>These values are calculated by dividing the fair value by the current replacement cost. These figures are shown below</w:t>
      </w:r>
      <w:r w:rsidRPr="002A3CFC">
        <w:rPr>
          <w:rFonts w:eastAsia="+mn-ea"/>
          <w:szCs w:val="24"/>
        </w:rPr>
        <w:t>.</w:t>
      </w:r>
    </w:p>
    <w:p w14:paraId="758B6A91" w14:textId="77777777" w:rsidR="00FA5036" w:rsidRPr="00EA6639" w:rsidRDefault="00FA5036" w:rsidP="00AD53DA">
      <w:pPr>
        <w:pStyle w:val="ListParagraph"/>
        <w:spacing w:before="120"/>
        <w:ind w:left="0" w:right="375"/>
        <w:rPr>
          <w:rFonts w:cs="Arial"/>
          <w:szCs w:val="24"/>
        </w:rPr>
      </w:pPr>
    </w:p>
    <w:tbl>
      <w:tblPr>
        <w:tblW w:w="5000" w:type="pct"/>
        <w:tblLook w:val="04A0" w:firstRow="1" w:lastRow="0" w:firstColumn="1" w:lastColumn="0" w:noHBand="0" w:noVBand="1"/>
      </w:tblPr>
      <w:tblGrid>
        <w:gridCol w:w="1548"/>
        <w:gridCol w:w="1303"/>
        <w:gridCol w:w="1306"/>
        <w:gridCol w:w="1320"/>
        <w:gridCol w:w="1320"/>
        <w:gridCol w:w="1320"/>
        <w:gridCol w:w="1546"/>
      </w:tblGrid>
      <w:tr w:rsidR="00A667E0" w:rsidRPr="00A667E0" w14:paraId="7A7B2775" w14:textId="77777777" w:rsidTr="007A0BF7">
        <w:trPr>
          <w:trHeight w:val="675"/>
        </w:trPr>
        <w:tc>
          <w:tcPr>
            <w:tcW w:w="801" w:type="pct"/>
            <w:vMerge w:val="restart"/>
            <w:tcBorders>
              <w:top w:val="single" w:sz="8" w:space="0" w:color="auto"/>
              <w:left w:val="single" w:sz="8" w:space="0" w:color="auto"/>
              <w:bottom w:val="single" w:sz="12" w:space="0" w:color="FFFFFF"/>
              <w:right w:val="nil"/>
            </w:tcBorders>
            <w:shd w:val="clear" w:color="000000" w:fill="4BACC6"/>
            <w:vAlign w:val="center"/>
            <w:hideMark/>
          </w:tcPr>
          <w:p w14:paraId="0084329E" w14:textId="77777777" w:rsidR="00A667E0" w:rsidRPr="00A667E0" w:rsidRDefault="00A667E0" w:rsidP="00A667E0">
            <w:pPr>
              <w:spacing w:after="0"/>
              <w:jc w:val="center"/>
              <w:rPr>
                <w:rFonts w:ascii="Arial Narrow" w:hAnsi="Arial Narrow"/>
                <w:b/>
                <w:bCs/>
                <w:color w:val="FFFFFF"/>
                <w:szCs w:val="24"/>
                <w:lang w:eastAsia="en-AU"/>
              </w:rPr>
            </w:pPr>
            <w:r w:rsidRPr="00A667E0">
              <w:rPr>
                <w:rFonts w:ascii="Arial Narrow" w:hAnsi="Arial Narrow" w:cs="Arial"/>
                <w:b/>
                <w:bCs/>
                <w:color w:val="FFFFFF"/>
                <w:szCs w:val="24"/>
                <w:lang w:eastAsia="en-AU"/>
              </w:rPr>
              <w:t>Asset</w:t>
            </w:r>
          </w:p>
        </w:tc>
        <w:tc>
          <w:tcPr>
            <w:tcW w:w="3399" w:type="pct"/>
            <w:gridSpan w:val="5"/>
            <w:tcBorders>
              <w:top w:val="single" w:sz="8" w:space="0" w:color="auto"/>
              <w:left w:val="single" w:sz="8" w:space="0" w:color="FFFFFF"/>
              <w:bottom w:val="single" w:sz="8" w:space="0" w:color="FFFFFF"/>
              <w:right w:val="single" w:sz="8" w:space="0" w:color="FFFFFF"/>
            </w:tcBorders>
            <w:shd w:val="clear" w:color="000000" w:fill="4BACC6"/>
            <w:vAlign w:val="center"/>
            <w:hideMark/>
          </w:tcPr>
          <w:p w14:paraId="6A968746" w14:textId="77777777" w:rsidR="00A667E0" w:rsidRPr="00A667E0" w:rsidRDefault="00A667E0" w:rsidP="00A667E0">
            <w:pPr>
              <w:spacing w:after="0"/>
              <w:jc w:val="center"/>
              <w:rPr>
                <w:rFonts w:ascii="Arial Narrow" w:hAnsi="Arial Narrow"/>
                <w:b/>
                <w:bCs/>
                <w:color w:val="FFFFFF"/>
                <w:szCs w:val="24"/>
                <w:lang w:eastAsia="en-AU"/>
              </w:rPr>
            </w:pPr>
            <w:r w:rsidRPr="00A667E0">
              <w:rPr>
                <w:rFonts w:ascii="Arial Narrow" w:hAnsi="Arial Narrow" w:cs="Arial"/>
                <w:b/>
                <w:bCs/>
                <w:color w:val="FFFFFF"/>
                <w:szCs w:val="24"/>
                <w:lang w:eastAsia="en-AU"/>
              </w:rPr>
              <w:t>Consumption Ratio</w:t>
            </w:r>
          </w:p>
        </w:tc>
        <w:tc>
          <w:tcPr>
            <w:tcW w:w="800" w:type="pct"/>
            <w:vMerge w:val="restart"/>
            <w:tcBorders>
              <w:top w:val="single" w:sz="8" w:space="0" w:color="auto"/>
              <w:left w:val="single" w:sz="8" w:space="0" w:color="FFFFFF"/>
              <w:bottom w:val="single" w:sz="12" w:space="0" w:color="FFFFFF"/>
              <w:right w:val="single" w:sz="8" w:space="0" w:color="auto"/>
            </w:tcBorders>
            <w:shd w:val="clear" w:color="000000" w:fill="4BACC6"/>
            <w:vAlign w:val="center"/>
            <w:hideMark/>
          </w:tcPr>
          <w:p w14:paraId="2BD08B42" w14:textId="77777777" w:rsidR="00A667E0" w:rsidRPr="00A667E0" w:rsidRDefault="00A667E0" w:rsidP="00A667E0">
            <w:pPr>
              <w:spacing w:after="0"/>
              <w:jc w:val="center"/>
              <w:rPr>
                <w:rFonts w:ascii="Arial Narrow" w:hAnsi="Arial Narrow"/>
                <w:b/>
                <w:bCs/>
                <w:color w:val="FFFFFF"/>
                <w:szCs w:val="24"/>
                <w:lang w:eastAsia="en-AU"/>
              </w:rPr>
            </w:pPr>
            <w:r w:rsidRPr="00A667E0">
              <w:rPr>
                <w:rFonts w:ascii="Arial Narrow" w:hAnsi="Arial Narrow" w:cs="Arial"/>
                <w:b/>
                <w:bCs/>
                <w:color w:val="FFFFFF"/>
                <w:szCs w:val="24"/>
                <w:lang w:eastAsia="en-AU"/>
              </w:rPr>
              <w:t>Standard Achieved</w:t>
            </w:r>
          </w:p>
        </w:tc>
      </w:tr>
      <w:tr w:rsidR="00A667E0" w:rsidRPr="00A667E0" w14:paraId="402E47A4" w14:textId="77777777" w:rsidTr="00FD48B2">
        <w:trPr>
          <w:trHeight w:val="330"/>
        </w:trPr>
        <w:tc>
          <w:tcPr>
            <w:tcW w:w="801" w:type="pct"/>
            <w:vMerge/>
            <w:tcBorders>
              <w:top w:val="single" w:sz="8" w:space="0" w:color="FFFFFF"/>
              <w:left w:val="single" w:sz="8" w:space="0" w:color="auto"/>
              <w:bottom w:val="thinThickSmallGap" w:sz="24" w:space="0" w:color="auto"/>
              <w:right w:val="nil"/>
            </w:tcBorders>
            <w:vAlign w:val="center"/>
            <w:hideMark/>
          </w:tcPr>
          <w:p w14:paraId="61A5B474" w14:textId="77777777" w:rsidR="00A667E0" w:rsidRPr="00A667E0" w:rsidRDefault="00A667E0" w:rsidP="00A667E0">
            <w:pPr>
              <w:spacing w:after="0"/>
              <w:jc w:val="left"/>
              <w:rPr>
                <w:rFonts w:ascii="Arial Narrow" w:hAnsi="Arial Narrow"/>
                <w:b/>
                <w:bCs/>
                <w:color w:val="FFFFFF"/>
                <w:szCs w:val="24"/>
                <w:lang w:eastAsia="en-AU"/>
              </w:rPr>
            </w:pPr>
          </w:p>
        </w:tc>
        <w:tc>
          <w:tcPr>
            <w:tcW w:w="674" w:type="pct"/>
            <w:tcBorders>
              <w:top w:val="nil"/>
              <w:left w:val="single" w:sz="8" w:space="0" w:color="FFFFFF"/>
              <w:bottom w:val="thinThickSmallGap" w:sz="24" w:space="0" w:color="auto"/>
              <w:right w:val="single" w:sz="8" w:space="0" w:color="FFFFFF"/>
            </w:tcBorders>
            <w:shd w:val="clear" w:color="000000" w:fill="4BACC6"/>
            <w:vAlign w:val="center"/>
            <w:hideMark/>
          </w:tcPr>
          <w:p w14:paraId="2D08B735" w14:textId="77777777" w:rsidR="00A667E0" w:rsidRPr="00A667E0" w:rsidRDefault="00A667E0">
            <w:pPr>
              <w:spacing w:after="0"/>
              <w:jc w:val="center"/>
              <w:rPr>
                <w:rFonts w:ascii="Arial Narrow" w:hAnsi="Arial Narrow"/>
                <w:color w:val="FFFFFF"/>
                <w:szCs w:val="24"/>
                <w:lang w:eastAsia="en-AU"/>
              </w:rPr>
            </w:pPr>
            <w:r w:rsidRPr="00A667E0">
              <w:rPr>
                <w:rFonts w:ascii="Arial Narrow" w:hAnsi="Arial Narrow"/>
                <w:color w:val="FFFFFF"/>
                <w:szCs w:val="24"/>
                <w:lang w:eastAsia="en-AU"/>
              </w:rPr>
              <w:t>1</w:t>
            </w:r>
            <w:r>
              <w:rPr>
                <w:rFonts w:ascii="Arial Narrow" w:hAnsi="Arial Narrow"/>
                <w:color w:val="FFFFFF"/>
                <w:szCs w:val="24"/>
                <w:lang w:eastAsia="en-AU"/>
              </w:rPr>
              <w:t>1</w:t>
            </w:r>
            <w:r w:rsidRPr="00A667E0">
              <w:rPr>
                <w:rFonts w:ascii="Arial Narrow" w:hAnsi="Arial Narrow"/>
                <w:color w:val="FFFFFF"/>
                <w:szCs w:val="24"/>
                <w:lang w:eastAsia="en-AU"/>
              </w:rPr>
              <w:t>/1</w:t>
            </w:r>
            <w:r>
              <w:rPr>
                <w:rFonts w:ascii="Arial Narrow" w:hAnsi="Arial Narrow"/>
                <w:color w:val="FFFFFF"/>
                <w:szCs w:val="24"/>
                <w:lang w:eastAsia="en-AU"/>
              </w:rPr>
              <w:t>2</w:t>
            </w:r>
          </w:p>
        </w:tc>
        <w:tc>
          <w:tcPr>
            <w:tcW w:w="676" w:type="pct"/>
            <w:tcBorders>
              <w:top w:val="nil"/>
              <w:left w:val="nil"/>
              <w:bottom w:val="thinThickSmallGap" w:sz="24" w:space="0" w:color="auto"/>
              <w:right w:val="single" w:sz="8" w:space="0" w:color="FFFFFF"/>
            </w:tcBorders>
            <w:shd w:val="clear" w:color="000000" w:fill="4BACC6"/>
            <w:vAlign w:val="center"/>
            <w:hideMark/>
          </w:tcPr>
          <w:p w14:paraId="426949C4" w14:textId="77777777" w:rsidR="00A667E0" w:rsidRPr="00A667E0" w:rsidRDefault="00A667E0">
            <w:pPr>
              <w:spacing w:after="0"/>
              <w:jc w:val="center"/>
              <w:rPr>
                <w:rFonts w:ascii="Arial Narrow" w:hAnsi="Arial Narrow"/>
                <w:color w:val="FFFFFF"/>
                <w:szCs w:val="24"/>
                <w:lang w:eastAsia="en-AU"/>
              </w:rPr>
            </w:pPr>
            <w:r w:rsidRPr="00A667E0">
              <w:rPr>
                <w:rFonts w:ascii="Arial Narrow" w:hAnsi="Arial Narrow"/>
                <w:color w:val="FFFFFF"/>
                <w:szCs w:val="24"/>
                <w:lang w:eastAsia="en-AU"/>
              </w:rPr>
              <w:t>1</w:t>
            </w:r>
            <w:r>
              <w:rPr>
                <w:rFonts w:ascii="Arial Narrow" w:hAnsi="Arial Narrow"/>
                <w:color w:val="FFFFFF"/>
                <w:szCs w:val="24"/>
                <w:lang w:eastAsia="en-AU"/>
              </w:rPr>
              <w:t>2</w:t>
            </w:r>
            <w:r w:rsidRPr="00A667E0">
              <w:rPr>
                <w:rFonts w:ascii="Arial Narrow" w:hAnsi="Arial Narrow"/>
                <w:color w:val="FFFFFF"/>
                <w:szCs w:val="24"/>
                <w:lang w:eastAsia="en-AU"/>
              </w:rPr>
              <w:t>/1</w:t>
            </w:r>
            <w:r>
              <w:rPr>
                <w:rFonts w:ascii="Arial Narrow" w:hAnsi="Arial Narrow"/>
                <w:color w:val="FFFFFF"/>
                <w:szCs w:val="24"/>
                <w:lang w:eastAsia="en-AU"/>
              </w:rPr>
              <w:t>3</w:t>
            </w:r>
          </w:p>
        </w:tc>
        <w:tc>
          <w:tcPr>
            <w:tcW w:w="683" w:type="pct"/>
            <w:tcBorders>
              <w:top w:val="nil"/>
              <w:left w:val="nil"/>
              <w:bottom w:val="thinThickSmallGap" w:sz="24" w:space="0" w:color="auto"/>
              <w:right w:val="single" w:sz="8" w:space="0" w:color="FFFFFF"/>
            </w:tcBorders>
            <w:shd w:val="clear" w:color="000000" w:fill="4BACC6"/>
            <w:vAlign w:val="center"/>
            <w:hideMark/>
          </w:tcPr>
          <w:p w14:paraId="5C3FB20D" w14:textId="77777777" w:rsidR="00A667E0" w:rsidRPr="00A667E0" w:rsidRDefault="00A667E0" w:rsidP="00A667E0">
            <w:pPr>
              <w:spacing w:after="0"/>
              <w:jc w:val="center"/>
              <w:rPr>
                <w:rFonts w:ascii="Arial Narrow" w:hAnsi="Arial Narrow"/>
                <w:color w:val="FFFFFF"/>
                <w:szCs w:val="24"/>
                <w:lang w:eastAsia="en-AU"/>
              </w:rPr>
            </w:pPr>
            <w:r w:rsidRPr="00A667E0">
              <w:rPr>
                <w:rFonts w:ascii="Arial Narrow" w:hAnsi="Arial Narrow"/>
                <w:color w:val="FFFFFF"/>
                <w:szCs w:val="24"/>
                <w:lang w:eastAsia="en-AU"/>
              </w:rPr>
              <w:t>13/14</w:t>
            </w:r>
          </w:p>
        </w:tc>
        <w:tc>
          <w:tcPr>
            <w:tcW w:w="683" w:type="pct"/>
            <w:tcBorders>
              <w:top w:val="nil"/>
              <w:left w:val="nil"/>
              <w:bottom w:val="thinThickSmallGap" w:sz="24" w:space="0" w:color="auto"/>
              <w:right w:val="single" w:sz="8" w:space="0" w:color="FFFFFF"/>
            </w:tcBorders>
            <w:shd w:val="clear" w:color="000000" w:fill="4BACC6"/>
            <w:vAlign w:val="center"/>
            <w:hideMark/>
          </w:tcPr>
          <w:p w14:paraId="129E925D" w14:textId="77777777" w:rsidR="00A667E0" w:rsidRPr="00A667E0" w:rsidRDefault="00A667E0" w:rsidP="00A667E0">
            <w:pPr>
              <w:spacing w:after="0"/>
              <w:jc w:val="center"/>
              <w:rPr>
                <w:rFonts w:ascii="Arial Narrow" w:hAnsi="Arial Narrow"/>
                <w:color w:val="FFFFFF"/>
                <w:szCs w:val="24"/>
                <w:lang w:eastAsia="en-AU"/>
              </w:rPr>
            </w:pPr>
            <w:r w:rsidRPr="00A667E0">
              <w:rPr>
                <w:rFonts w:ascii="Arial Narrow" w:hAnsi="Arial Narrow"/>
                <w:color w:val="FFFFFF"/>
                <w:szCs w:val="24"/>
                <w:lang w:eastAsia="en-AU"/>
              </w:rPr>
              <w:t>16/17</w:t>
            </w:r>
          </w:p>
        </w:tc>
        <w:tc>
          <w:tcPr>
            <w:tcW w:w="683" w:type="pct"/>
            <w:tcBorders>
              <w:top w:val="nil"/>
              <w:left w:val="nil"/>
              <w:bottom w:val="thinThickSmallGap" w:sz="24" w:space="0" w:color="auto"/>
              <w:right w:val="nil"/>
            </w:tcBorders>
            <w:shd w:val="clear" w:color="000000" w:fill="4BACC6"/>
            <w:vAlign w:val="center"/>
            <w:hideMark/>
          </w:tcPr>
          <w:p w14:paraId="6861B401" w14:textId="77777777" w:rsidR="00A667E0" w:rsidRPr="00A667E0" w:rsidRDefault="00A667E0" w:rsidP="00A667E0">
            <w:pPr>
              <w:spacing w:after="0"/>
              <w:jc w:val="center"/>
              <w:rPr>
                <w:rFonts w:ascii="Arial Narrow" w:hAnsi="Arial Narrow"/>
                <w:color w:val="FFFFFF"/>
                <w:szCs w:val="24"/>
                <w:lang w:eastAsia="en-AU"/>
              </w:rPr>
            </w:pPr>
            <w:r w:rsidRPr="00A667E0">
              <w:rPr>
                <w:rFonts w:ascii="Arial Narrow" w:hAnsi="Arial Narrow"/>
                <w:color w:val="FFFFFF"/>
                <w:szCs w:val="24"/>
                <w:lang w:eastAsia="en-AU"/>
              </w:rPr>
              <w:t>19/20</w:t>
            </w:r>
          </w:p>
        </w:tc>
        <w:tc>
          <w:tcPr>
            <w:tcW w:w="800" w:type="pct"/>
            <w:vMerge/>
            <w:tcBorders>
              <w:top w:val="single" w:sz="8" w:space="0" w:color="FFFFFF"/>
              <w:left w:val="single" w:sz="8" w:space="0" w:color="FFFFFF"/>
              <w:bottom w:val="thinThickSmallGap" w:sz="24" w:space="0" w:color="auto"/>
              <w:right w:val="single" w:sz="8" w:space="0" w:color="auto"/>
            </w:tcBorders>
            <w:vAlign w:val="center"/>
            <w:hideMark/>
          </w:tcPr>
          <w:p w14:paraId="07436960" w14:textId="77777777" w:rsidR="00A667E0" w:rsidRPr="00A667E0" w:rsidRDefault="00A667E0" w:rsidP="00A667E0">
            <w:pPr>
              <w:spacing w:after="0"/>
              <w:jc w:val="left"/>
              <w:rPr>
                <w:rFonts w:ascii="Arial Narrow" w:hAnsi="Arial Narrow"/>
                <w:b/>
                <w:bCs/>
                <w:color w:val="FFFFFF"/>
                <w:szCs w:val="24"/>
                <w:lang w:eastAsia="en-AU"/>
              </w:rPr>
            </w:pPr>
          </w:p>
        </w:tc>
      </w:tr>
      <w:tr w:rsidR="00A667E0" w:rsidRPr="00A667E0" w14:paraId="744B8F12" w14:textId="77777777" w:rsidTr="00FD48B2">
        <w:trPr>
          <w:trHeight w:val="660"/>
        </w:trPr>
        <w:tc>
          <w:tcPr>
            <w:tcW w:w="801" w:type="pct"/>
            <w:tcBorders>
              <w:top w:val="thinThickSmallGap" w:sz="24" w:space="0" w:color="auto"/>
              <w:left w:val="single" w:sz="8" w:space="0" w:color="auto"/>
              <w:bottom w:val="single" w:sz="8" w:space="0" w:color="auto"/>
              <w:right w:val="thinThickSmallGap" w:sz="24" w:space="0" w:color="auto"/>
            </w:tcBorders>
            <w:shd w:val="clear" w:color="000000" w:fill="B6DDE8"/>
            <w:vAlign w:val="center"/>
            <w:hideMark/>
          </w:tcPr>
          <w:p w14:paraId="4A7F2828" w14:textId="77777777" w:rsidR="00A667E0" w:rsidRPr="00A667E0" w:rsidRDefault="00A667E0" w:rsidP="00A667E0">
            <w:pPr>
              <w:spacing w:after="0"/>
              <w:jc w:val="center"/>
              <w:rPr>
                <w:rFonts w:ascii="Arial Narrow" w:hAnsi="Arial Narrow"/>
                <w:szCs w:val="24"/>
                <w:lang w:eastAsia="en-AU"/>
              </w:rPr>
            </w:pPr>
            <w:r w:rsidRPr="00A667E0">
              <w:rPr>
                <w:rFonts w:ascii="Arial Narrow" w:hAnsi="Arial Narrow"/>
                <w:szCs w:val="24"/>
                <w:lang w:eastAsia="en-AU"/>
              </w:rPr>
              <w:t>Footpaths</w:t>
            </w:r>
          </w:p>
        </w:tc>
        <w:tc>
          <w:tcPr>
            <w:tcW w:w="674" w:type="pct"/>
            <w:tcBorders>
              <w:top w:val="thinThickSmallGap" w:sz="24" w:space="0" w:color="auto"/>
              <w:left w:val="thinThickSmallGap" w:sz="24" w:space="0" w:color="auto"/>
              <w:bottom w:val="single" w:sz="8" w:space="0" w:color="auto"/>
              <w:right w:val="single" w:sz="8" w:space="0" w:color="FFFFFF"/>
            </w:tcBorders>
            <w:shd w:val="clear" w:color="000000" w:fill="B6DDE8"/>
            <w:vAlign w:val="center"/>
            <w:hideMark/>
          </w:tcPr>
          <w:p w14:paraId="0B346E9C" w14:textId="77777777" w:rsidR="00A667E0" w:rsidRPr="00A667E0" w:rsidRDefault="00A667E0" w:rsidP="00A667E0">
            <w:pPr>
              <w:spacing w:after="0"/>
              <w:jc w:val="center"/>
              <w:rPr>
                <w:rFonts w:ascii="Arial Narrow" w:hAnsi="Arial Narrow"/>
                <w:szCs w:val="24"/>
                <w:lang w:eastAsia="en-AU"/>
              </w:rPr>
            </w:pPr>
            <w:r w:rsidRPr="00A667E0">
              <w:rPr>
                <w:rFonts w:ascii="Arial Narrow" w:hAnsi="Arial Narrow"/>
                <w:szCs w:val="24"/>
                <w:lang w:eastAsia="en-AU"/>
              </w:rPr>
              <w:t>70%</w:t>
            </w:r>
          </w:p>
        </w:tc>
        <w:tc>
          <w:tcPr>
            <w:tcW w:w="676" w:type="pct"/>
            <w:tcBorders>
              <w:top w:val="thinThickSmallGap" w:sz="24" w:space="0" w:color="auto"/>
              <w:left w:val="nil"/>
              <w:bottom w:val="single" w:sz="8" w:space="0" w:color="auto"/>
              <w:right w:val="single" w:sz="8" w:space="0" w:color="FFFFFF"/>
            </w:tcBorders>
            <w:shd w:val="clear" w:color="000000" w:fill="B6DDE8"/>
            <w:vAlign w:val="center"/>
            <w:hideMark/>
          </w:tcPr>
          <w:p w14:paraId="7584159C" w14:textId="77777777" w:rsidR="00A667E0" w:rsidRPr="00A667E0" w:rsidRDefault="00A667E0" w:rsidP="00A667E0">
            <w:pPr>
              <w:spacing w:after="0"/>
              <w:jc w:val="center"/>
              <w:rPr>
                <w:rFonts w:ascii="Arial Narrow" w:hAnsi="Arial Narrow"/>
                <w:szCs w:val="24"/>
                <w:lang w:eastAsia="en-AU"/>
              </w:rPr>
            </w:pPr>
            <w:r w:rsidRPr="00A667E0">
              <w:rPr>
                <w:rFonts w:ascii="Arial Narrow" w:hAnsi="Arial Narrow"/>
                <w:szCs w:val="24"/>
                <w:lang w:eastAsia="en-AU"/>
              </w:rPr>
              <w:t>71%</w:t>
            </w:r>
          </w:p>
        </w:tc>
        <w:tc>
          <w:tcPr>
            <w:tcW w:w="683" w:type="pct"/>
            <w:tcBorders>
              <w:top w:val="thinThickSmallGap" w:sz="24" w:space="0" w:color="auto"/>
              <w:left w:val="nil"/>
              <w:bottom w:val="single" w:sz="8" w:space="0" w:color="auto"/>
              <w:right w:val="single" w:sz="8" w:space="0" w:color="FFFFFF"/>
            </w:tcBorders>
            <w:shd w:val="clear" w:color="000000" w:fill="B6DDE8"/>
            <w:vAlign w:val="center"/>
            <w:hideMark/>
          </w:tcPr>
          <w:p w14:paraId="673DF1B0" w14:textId="77777777" w:rsidR="00A667E0" w:rsidRPr="00A667E0" w:rsidRDefault="00A667E0" w:rsidP="00A667E0">
            <w:pPr>
              <w:spacing w:after="0"/>
              <w:jc w:val="center"/>
              <w:rPr>
                <w:rFonts w:ascii="Arial Narrow" w:hAnsi="Arial Narrow"/>
                <w:szCs w:val="24"/>
                <w:lang w:eastAsia="en-AU"/>
              </w:rPr>
            </w:pPr>
            <w:r w:rsidRPr="00A667E0">
              <w:rPr>
                <w:rFonts w:ascii="Arial Narrow" w:hAnsi="Arial Narrow"/>
                <w:szCs w:val="24"/>
                <w:lang w:eastAsia="en-AU"/>
              </w:rPr>
              <w:t>73%</w:t>
            </w:r>
          </w:p>
        </w:tc>
        <w:tc>
          <w:tcPr>
            <w:tcW w:w="683" w:type="pct"/>
            <w:tcBorders>
              <w:top w:val="thinThickSmallGap" w:sz="24" w:space="0" w:color="auto"/>
              <w:left w:val="nil"/>
              <w:bottom w:val="single" w:sz="8" w:space="0" w:color="auto"/>
              <w:right w:val="single" w:sz="8" w:space="0" w:color="FFFFFF"/>
            </w:tcBorders>
            <w:shd w:val="clear" w:color="000000" w:fill="B6DDE8"/>
            <w:vAlign w:val="center"/>
            <w:hideMark/>
          </w:tcPr>
          <w:p w14:paraId="4E6DDC0E" w14:textId="77777777" w:rsidR="00A667E0" w:rsidRPr="00A667E0" w:rsidRDefault="00A667E0" w:rsidP="00A667E0">
            <w:pPr>
              <w:spacing w:after="0"/>
              <w:jc w:val="center"/>
              <w:rPr>
                <w:rFonts w:ascii="Arial Narrow" w:hAnsi="Arial Narrow"/>
                <w:szCs w:val="24"/>
                <w:lang w:eastAsia="en-AU"/>
              </w:rPr>
            </w:pPr>
            <w:r w:rsidRPr="00A667E0">
              <w:rPr>
                <w:rFonts w:ascii="Arial Narrow" w:hAnsi="Arial Narrow"/>
                <w:szCs w:val="24"/>
                <w:lang w:eastAsia="en-AU"/>
              </w:rPr>
              <w:t>63%</w:t>
            </w:r>
          </w:p>
        </w:tc>
        <w:tc>
          <w:tcPr>
            <w:tcW w:w="683" w:type="pct"/>
            <w:tcBorders>
              <w:top w:val="thinThickSmallGap" w:sz="24" w:space="0" w:color="auto"/>
              <w:left w:val="nil"/>
              <w:bottom w:val="single" w:sz="8" w:space="0" w:color="auto"/>
              <w:right w:val="single" w:sz="8" w:space="0" w:color="FFFFFF"/>
            </w:tcBorders>
            <w:shd w:val="clear" w:color="000000" w:fill="B6DDE8"/>
            <w:vAlign w:val="center"/>
            <w:hideMark/>
          </w:tcPr>
          <w:p w14:paraId="679FED3C" w14:textId="77777777" w:rsidR="00A667E0" w:rsidRPr="00A667E0" w:rsidRDefault="007D0774" w:rsidP="007D0774">
            <w:pPr>
              <w:spacing w:after="0"/>
              <w:jc w:val="center"/>
              <w:rPr>
                <w:rFonts w:ascii="Arial Narrow" w:hAnsi="Arial Narrow"/>
                <w:szCs w:val="24"/>
                <w:lang w:eastAsia="en-AU"/>
              </w:rPr>
            </w:pPr>
            <w:r>
              <w:rPr>
                <w:rFonts w:ascii="Arial Narrow" w:hAnsi="Arial Narrow"/>
                <w:szCs w:val="24"/>
                <w:lang w:eastAsia="en-AU"/>
              </w:rPr>
              <w:t>70</w:t>
            </w:r>
            <w:r w:rsidR="00A667E0" w:rsidRPr="00A667E0">
              <w:rPr>
                <w:rFonts w:ascii="Arial Narrow" w:hAnsi="Arial Narrow"/>
                <w:szCs w:val="24"/>
                <w:lang w:eastAsia="en-AU"/>
              </w:rPr>
              <w:t>%</w:t>
            </w:r>
            <w:r w:rsidR="00A667E0" w:rsidRPr="00A667E0">
              <w:rPr>
                <w:rFonts w:cs="Arial"/>
                <w:sz w:val="16"/>
                <w:szCs w:val="16"/>
                <w:lang w:eastAsia="en-AU"/>
              </w:rPr>
              <w:t> </w:t>
            </w:r>
          </w:p>
        </w:tc>
        <w:tc>
          <w:tcPr>
            <w:tcW w:w="800" w:type="pct"/>
            <w:tcBorders>
              <w:top w:val="thinThickSmallGap" w:sz="24" w:space="0" w:color="auto"/>
              <w:left w:val="nil"/>
              <w:bottom w:val="single" w:sz="8" w:space="0" w:color="auto"/>
              <w:right w:val="single" w:sz="8" w:space="0" w:color="auto"/>
            </w:tcBorders>
            <w:shd w:val="clear" w:color="000000" w:fill="B6DDE8"/>
            <w:vAlign w:val="center"/>
            <w:hideMark/>
          </w:tcPr>
          <w:p w14:paraId="7D5D0311" w14:textId="77777777" w:rsidR="00A667E0" w:rsidRPr="00A667E0" w:rsidRDefault="00FD48B2" w:rsidP="00A667E0">
            <w:pPr>
              <w:spacing w:after="0"/>
              <w:jc w:val="center"/>
              <w:rPr>
                <w:rFonts w:ascii="Arial Narrow" w:hAnsi="Arial Narrow"/>
                <w:szCs w:val="24"/>
                <w:lang w:eastAsia="en-AU"/>
              </w:rPr>
            </w:pPr>
            <w:r>
              <w:rPr>
                <w:rFonts w:ascii="Arial Narrow" w:hAnsi="Arial Narrow"/>
                <w:szCs w:val="24"/>
                <w:lang w:eastAsia="en-AU"/>
              </w:rPr>
              <w:t>I</w:t>
            </w:r>
            <w:r w:rsidR="00A667E0" w:rsidRPr="00A667E0">
              <w:rPr>
                <w:rFonts w:ascii="Arial Narrow" w:hAnsi="Arial Narrow"/>
                <w:szCs w:val="24"/>
                <w:lang w:eastAsia="en-AU"/>
              </w:rPr>
              <w:t>mproving</w:t>
            </w:r>
          </w:p>
        </w:tc>
      </w:tr>
    </w:tbl>
    <w:p w14:paraId="11BC94F6" w14:textId="77777777" w:rsidR="00FA5036" w:rsidRPr="00EA6639" w:rsidRDefault="00FA5036" w:rsidP="00AD53DA">
      <w:pPr>
        <w:pStyle w:val="ListParagraph"/>
        <w:ind w:left="0" w:right="375"/>
        <w:rPr>
          <w:rFonts w:cs="Arial"/>
          <w:szCs w:val="24"/>
        </w:rPr>
      </w:pPr>
    </w:p>
    <w:p w14:paraId="0AAB58BE" w14:textId="77777777" w:rsidR="00CC57A5" w:rsidRPr="00375695" w:rsidRDefault="00CC57A5" w:rsidP="00CC57A5">
      <w:pPr>
        <w:spacing w:after="200"/>
        <w:rPr>
          <w:rFonts w:eastAsia="+mn-ea"/>
          <w:szCs w:val="24"/>
        </w:rPr>
      </w:pPr>
      <w:r w:rsidRPr="00375695">
        <w:rPr>
          <w:rFonts w:eastAsia="+mn-ea"/>
          <w:szCs w:val="24"/>
        </w:rPr>
        <w:t xml:space="preserve">The target ratio should be between 50% and 75%. A ratio of less than 50% indicates a rapid deterioration of the asset base, whilst a ratio greater than 75% may indicate an over investment in the asset base. </w:t>
      </w:r>
    </w:p>
    <w:p w14:paraId="6A782D6A" w14:textId="77777777" w:rsidR="00FA5036" w:rsidRPr="00B252EF" w:rsidRDefault="00FA5036" w:rsidP="00AD53DA">
      <w:pPr>
        <w:autoSpaceDE w:val="0"/>
        <w:autoSpaceDN w:val="0"/>
        <w:adjustRightInd w:val="0"/>
        <w:spacing w:after="0"/>
        <w:ind w:right="375"/>
        <w:jc w:val="left"/>
        <w:rPr>
          <w:rFonts w:eastAsia="+mn-ea"/>
          <w:szCs w:val="24"/>
        </w:rPr>
      </w:pPr>
      <w:r w:rsidRPr="00C830FF">
        <w:rPr>
          <w:rFonts w:eastAsia="+mn-ea"/>
          <w:szCs w:val="24"/>
        </w:rPr>
        <w:t xml:space="preserve">Integrated Planning and Reporting Advisory Standard </w:t>
      </w:r>
      <w:r>
        <w:rPr>
          <w:rFonts w:eastAsia="+mn-ea"/>
          <w:szCs w:val="24"/>
        </w:rPr>
        <w:t>KPI targets</w:t>
      </w:r>
      <w:r w:rsidRPr="00C830FF">
        <w:rPr>
          <w:rFonts w:eastAsia="+mn-ea"/>
          <w:szCs w:val="24"/>
        </w:rPr>
        <w:t xml:space="preserve"> are outlined below</w:t>
      </w:r>
      <w:r>
        <w:rPr>
          <w:rFonts w:eastAsia="+mn-ea"/>
          <w:szCs w:val="24"/>
        </w:rPr>
        <w:br/>
      </w:r>
    </w:p>
    <w:p w14:paraId="1F7324C9" w14:textId="77777777" w:rsidR="00FA5036" w:rsidRPr="00BE20A6" w:rsidRDefault="00FA5036" w:rsidP="00AD53DA">
      <w:pPr>
        <w:autoSpaceDE w:val="0"/>
        <w:autoSpaceDN w:val="0"/>
        <w:adjustRightInd w:val="0"/>
        <w:spacing w:after="0"/>
        <w:ind w:right="375"/>
        <w:jc w:val="left"/>
        <w:rPr>
          <w:rFonts w:cs="Arial"/>
          <w:color w:val="000000" w:themeColor="text1"/>
          <w:szCs w:val="24"/>
          <w:lang w:eastAsia="en-AU"/>
        </w:rPr>
      </w:pPr>
      <w:r w:rsidRPr="00BE20A6">
        <w:rPr>
          <w:rFonts w:cs="Arial"/>
          <w:b/>
          <w:bCs/>
          <w:color w:val="000000" w:themeColor="text1"/>
          <w:szCs w:val="24"/>
          <w:lang w:eastAsia="en-AU"/>
        </w:rPr>
        <w:t>Standard is not met</w:t>
      </w:r>
      <w:r w:rsidRPr="00BE20A6">
        <w:rPr>
          <w:rFonts w:cs="Arial"/>
          <w:bCs/>
          <w:color w:val="000000" w:themeColor="text1"/>
          <w:szCs w:val="24"/>
          <w:lang w:eastAsia="en-AU"/>
        </w:rPr>
        <w:t xml:space="preserve"> </w:t>
      </w:r>
      <w:r w:rsidRPr="00BE20A6">
        <w:rPr>
          <w:rFonts w:cs="Arial"/>
          <w:color w:val="000000" w:themeColor="text1"/>
          <w:szCs w:val="24"/>
          <w:lang w:eastAsia="en-AU"/>
        </w:rPr>
        <w:t>if ratio data cannot be</w:t>
      </w:r>
      <w:r>
        <w:rPr>
          <w:rFonts w:cs="Arial"/>
          <w:color w:val="000000" w:themeColor="text1"/>
          <w:szCs w:val="24"/>
          <w:lang w:eastAsia="en-AU"/>
        </w:rPr>
        <w:t xml:space="preserve"> </w:t>
      </w:r>
      <w:r w:rsidRPr="00BE20A6">
        <w:rPr>
          <w:rFonts w:cs="Arial"/>
          <w:color w:val="000000" w:themeColor="text1"/>
          <w:szCs w:val="24"/>
          <w:lang w:eastAsia="en-AU"/>
        </w:rPr>
        <w:t>identified or ratio is less than 50%.</w:t>
      </w:r>
      <w:r>
        <w:rPr>
          <w:rFonts w:cs="Arial"/>
          <w:color w:val="000000" w:themeColor="text1"/>
          <w:szCs w:val="24"/>
          <w:lang w:eastAsia="en-AU"/>
        </w:rPr>
        <w:br/>
      </w:r>
    </w:p>
    <w:p w14:paraId="1F56EE5D" w14:textId="77777777" w:rsidR="00FA5036" w:rsidRPr="00BE20A6" w:rsidRDefault="0008499A" w:rsidP="00AD53DA">
      <w:pPr>
        <w:autoSpaceDE w:val="0"/>
        <w:autoSpaceDN w:val="0"/>
        <w:adjustRightInd w:val="0"/>
        <w:spacing w:after="0"/>
        <w:ind w:right="375"/>
        <w:jc w:val="left"/>
        <w:rPr>
          <w:rFonts w:cs="Arial"/>
          <w:color w:val="000000" w:themeColor="text1"/>
          <w:szCs w:val="24"/>
          <w:lang w:eastAsia="en-AU"/>
        </w:rPr>
      </w:pPr>
      <w:r>
        <w:rPr>
          <w:rFonts w:cs="Arial"/>
          <w:b/>
          <w:bCs/>
          <w:color w:val="000000" w:themeColor="text1"/>
          <w:szCs w:val="24"/>
          <w:lang w:eastAsia="en-AU"/>
        </w:rPr>
        <w:t>Standard is met</w:t>
      </w:r>
      <w:r w:rsidR="00FA5036" w:rsidRPr="00BE20A6">
        <w:rPr>
          <w:rFonts w:cs="Arial"/>
          <w:color w:val="000000" w:themeColor="text1"/>
          <w:szCs w:val="24"/>
          <w:lang w:eastAsia="en-AU"/>
        </w:rPr>
        <w:t xml:space="preserve"> if ratio data can be</w:t>
      </w:r>
      <w:r w:rsidR="00FA5036">
        <w:rPr>
          <w:rFonts w:cs="Arial"/>
          <w:color w:val="000000" w:themeColor="text1"/>
          <w:szCs w:val="24"/>
          <w:lang w:eastAsia="en-AU"/>
        </w:rPr>
        <w:t xml:space="preserve"> </w:t>
      </w:r>
      <w:r w:rsidR="00FA5036" w:rsidRPr="00BE20A6">
        <w:rPr>
          <w:rFonts w:cs="Arial"/>
          <w:color w:val="000000" w:themeColor="text1"/>
          <w:szCs w:val="24"/>
          <w:lang w:eastAsia="en-AU"/>
        </w:rPr>
        <w:t>identified and ratio is 50% or greater.</w:t>
      </w:r>
      <w:r w:rsidR="00FA5036">
        <w:rPr>
          <w:rFonts w:cs="Arial"/>
          <w:color w:val="000000" w:themeColor="text1"/>
          <w:szCs w:val="24"/>
          <w:lang w:eastAsia="en-AU"/>
        </w:rPr>
        <w:br/>
      </w:r>
    </w:p>
    <w:p w14:paraId="65033A3A" w14:textId="77777777" w:rsidR="00FA5036" w:rsidRDefault="0008499A" w:rsidP="00AD53DA">
      <w:pPr>
        <w:ind w:right="375"/>
        <w:rPr>
          <w:rFonts w:cs="Arial"/>
          <w:color w:val="000000" w:themeColor="text1"/>
          <w:szCs w:val="24"/>
          <w:lang w:eastAsia="en-AU"/>
        </w:rPr>
      </w:pPr>
      <w:r>
        <w:rPr>
          <w:rFonts w:cs="Arial"/>
          <w:b/>
          <w:bCs/>
          <w:color w:val="000000" w:themeColor="text1"/>
          <w:szCs w:val="24"/>
          <w:lang w:eastAsia="en-AU"/>
        </w:rPr>
        <w:t xml:space="preserve">Standard is improving </w:t>
      </w:r>
      <w:r w:rsidR="00FA5036" w:rsidRPr="00BE20A6">
        <w:rPr>
          <w:rFonts w:cs="Arial"/>
          <w:color w:val="000000" w:themeColor="text1"/>
          <w:szCs w:val="24"/>
          <w:lang w:eastAsia="en-AU"/>
        </w:rPr>
        <w:t>if this ratio is</w:t>
      </w:r>
      <w:r w:rsidR="00FA5036">
        <w:rPr>
          <w:rFonts w:cs="Arial"/>
          <w:color w:val="000000" w:themeColor="text1"/>
          <w:szCs w:val="24"/>
          <w:lang w:eastAsia="en-AU"/>
        </w:rPr>
        <w:t xml:space="preserve"> </w:t>
      </w:r>
      <w:r w:rsidR="00FA5036" w:rsidRPr="00BE20A6">
        <w:rPr>
          <w:rFonts w:cs="Arial"/>
          <w:color w:val="000000" w:themeColor="text1"/>
          <w:szCs w:val="24"/>
          <w:lang w:eastAsia="en-AU"/>
        </w:rPr>
        <w:t>between 60% and 75%.</w:t>
      </w:r>
    </w:p>
    <w:p w14:paraId="47DDB81C" w14:textId="77777777" w:rsidR="00FA5036" w:rsidRPr="006F08FA" w:rsidRDefault="001B3973" w:rsidP="00AD53DA">
      <w:pPr>
        <w:pStyle w:val="Heading3"/>
        <w:ind w:right="375"/>
        <w:rPr>
          <w:color w:val="0070C0"/>
        </w:rPr>
      </w:pPr>
      <w:bookmarkStart w:id="50" w:name="_Toc56419085"/>
      <w:r w:rsidRPr="006F08FA">
        <w:rPr>
          <w:color w:val="0070C0"/>
        </w:rPr>
        <w:t>6.3.2</w:t>
      </w:r>
      <w:r w:rsidRPr="006F08FA">
        <w:rPr>
          <w:color w:val="0070C0"/>
        </w:rPr>
        <w:tab/>
      </w:r>
      <w:r w:rsidR="00FA5036" w:rsidRPr="006F08FA">
        <w:rPr>
          <w:color w:val="0070C0"/>
        </w:rPr>
        <w:t>Asset Sustainability Ratio</w:t>
      </w:r>
      <w:r w:rsidR="00051B8C" w:rsidRPr="006F08FA">
        <w:rPr>
          <w:color w:val="0070C0"/>
        </w:rPr>
        <w:t xml:space="preserve"> (ASR)</w:t>
      </w:r>
      <w:bookmarkEnd w:id="50"/>
    </w:p>
    <w:p w14:paraId="1FECD960" w14:textId="77777777" w:rsidR="00FF5043" w:rsidRPr="00375695" w:rsidRDefault="00FF5043" w:rsidP="00A06614">
      <w:pPr>
        <w:pStyle w:val="ListParagraph"/>
        <w:numPr>
          <w:ilvl w:val="0"/>
          <w:numId w:val="28"/>
        </w:numPr>
        <w:ind w:left="714" w:hanging="357"/>
        <w:contextualSpacing w:val="0"/>
        <w:rPr>
          <w:rFonts w:cs="Arial"/>
          <w:szCs w:val="24"/>
        </w:rPr>
      </w:pPr>
      <w:r w:rsidRPr="00375695">
        <w:rPr>
          <w:rFonts w:cs="Arial"/>
          <w:szCs w:val="24"/>
        </w:rPr>
        <w:t>This ratio indicates whether assets are being replaced or renewed at the same rate that the overall asset stock is wearing out.</w:t>
      </w:r>
    </w:p>
    <w:p w14:paraId="5C5BEB20" w14:textId="77777777" w:rsidR="004775AB" w:rsidRPr="00375695" w:rsidRDefault="004775AB" w:rsidP="00A06614">
      <w:pPr>
        <w:pStyle w:val="ListParagraph"/>
        <w:numPr>
          <w:ilvl w:val="0"/>
          <w:numId w:val="28"/>
        </w:numPr>
        <w:ind w:left="714" w:hanging="357"/>
        <w:contextualSpacing w:val="0"/>
        <w:rPr>
          <w:rFonts w:cs="Arial"/>
          <w:szCs w:val="24"/>
        </w:rPr>
      </w:pPr>
      <w:r w:rsidRPr="00375695">
        <w:rPr>
          <w:rFonts w:cs="Arial"/>
          <w:szCs w:val="24"/>
        </w:rPr>
        <w:t xml:space="preserve">It is calculated by dividing the annual capital expenditure spent on replacements (reserve funding required) by the annual depreciation expense. If capital expenditure on renewing or replacing assets is at least equal to depreciation on average over time, then the value of the existing stock will be maintained. If capital expenditure on existing assets is less than depreciation then underspending on replacement of assets will occur and this is likely to result in </w:t>
      </w:r>
      <w:r w:rsidRPr="00375695">
        <w:rPr>
          <w:rFonts w:cs="Arial"/>
          <w:szCs w:val="24"/>
        </w:rPr>
        <w:lastRenderedPageBreak/>
        <w:t>additional maintenance costs for assets that have exceeded their useful life that may exceed the cost of renewal or replacement.</w:t>
      </w:r>
    </w:p>
    <w:p w14:paraId="4D580DC1" w14:textId="77777777" w:rsidR="00633D8F" w:rsidRDefault="00FA5036" w:rsidP="00AD53DA">
      <w:pPr>
        <w:spacing w:after="120"/>
        <w:ind w:right="375"/>
      </w:pPr>
      <w:r w:rsidRPr="00EA6639">
        <w:t xml:space="preserve">The target ratio should be between 90% - 110%. </w:t>
      </w:r>
      <w:r w:rsidR="003E35EA">
        <w:t>The forecast asset sustainability ratios shown below have been calculated on an accumulative basis.</w:t>
      </w:r>
    </w:p>
    <w:tbl>
      <w:tblPr>
        <w:tblW w:w="5000" w:type="pct"/>
        <w:tblLook w:val="04A0" w:firstRow="1" w:lastRow="0" w:firstColumn="1" w:lastColumn="0" w:noHBand="0" w:noVBand="1"/>
      </w:tblPr>
      <w:tblGrid>
        <w:gridCol w:w="1932"/>
        <w:gridCol w:w="1932"/>
        <w:gridCol w:w="1933"/>
        <w:gridCol w:w="1933"/>
        <w:gridCol w:w="1933"/>
      </w:tblGrid>
      <w:tr w:rsidR="00FD48B2" w:rsidRPr="00633D8F" w14:paraId="776E2310" w14:textId="77777777" w:rsidTr="00FD48B2">
        <w:trPr>
          <w:trHeight w:val="504"/>
        </w:trPr>
        <w:tc>
          <w:tcPr>
            <w:tcW w:w="1000" w:type="pct"/>
            <w:vMerge w:val="restart"/>
            <w:tcBorders>
              <w:top w:val="single" w:sz="8" w:space="0" w:color="auto"/>
              <w:left w:val="single" w:sz="8" w:space="0" w:color="auto"/>
              <w:bottom w:val="thinThickSmallGap" w:sz="24" w:space="0" w:color="auto"/>
              <w:right w:val="single" w:sz="6" w:space="0" w:color="FFFFFF" w:themeColor="background1"/>
            </w:tcBorders>
            <w:shd w:val="clear" w:color="000000" w:fill="4BACC6"/>
            <w:vAlign w:val="center"/>
            <w:hideMark/>
          </w:tcPr>
          <w:p w14:paraId="46148ADE" w14:textId="77777777" w:rsidR="00FD48B2" w:rsidRPr="00CD74E6" w:rsidRDefault="00FD48B2" w:rsidP="00633D8F">
            <w:pPr>
              <w:spacing w:after="0"/>
              <w:jc w:val="center"/>
              <w:rPr>
                <w:rFonts w:ascii="Arial Narrow" w:hAnsi="Arial Narrow"/>
                <w:b/>
                <w:color w:val="FFFFFF"/>
                <w:sz w:val="20"/>
                <w:lang w:eastAsia="en-AU"/>
              </w:rPr>
            </w:pPr>
            <w:r w:rsidRPr="00A667E0">
              <w:rPr>
                <w:rFonts w:ascii="Arial Narrow" w:hAnsi="Arial Narrow" w:cs="Arial"/>
                <w:b/>
                <w:bCs/>
                <w:color w:val="FFFFFF"/>
                <w:szCs w:val="24"/>
                <w:lang w:eastAsia="en-AU"/>
              </w:rPr>
              <w:t>Asset</w:t>
            </w:r>
          </w:p>
        </w:tc>
        <w:tc>
          <w:tcPr>
            <w:tcW w:w="4000" w:type="pct"/>
            <w:gridSpan w:val="4"/>
            <w:tcBorders>
              <w:top w:val="single" w:sz="8" w:space="0" w:color="auto"/>
              <w:left w:val="single" w:sz="6" w:space="0" w:color="FFFFFF" w:themeColor="background1"/>
              <w:bottom w:val="single" w:sz="12" w:space="0" w:color="FFFFFF"/>
              <w:right w:val="single" w:sz="8" w:space="0" w:color="auto"/>
            </w:tcBorders>
            <w:shd w:val="clear" w:color="000000" w:fill="4BACC6"/>
            <w:vAlign w:val="center"/>
          </w:tcPr>
          <w:p w14:paraId="1D2033C1" w14:textId="77777777" w:rsidR="00FD48B2" w:rsidRPr="00CD74E6" w:rsidRDefault="00FD48B2" w:rsidP="00633D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Actual Sustainability Ratio</w:t>
            </w:r>
          </w:p>
        </w:tc>
      </w:tr>
      <w:tr w:rsidR="00FD48B2" w:rsidRPr="00633D8F" w14:paraId="7FC0EC6B" w14:textId="77777777" w:rsidTr="00FD48B2">
        <w:trPr>
          <w:trHeight w:val="327"/>
        </w:trPr>
        <w:tc>
          <w:tcPr>
            <w:tcW w:w="1000" w:type="pct"/>
            <w:vMerge/>
            <w:tcBorders>
              <w:top w:val="thinThickSmallGap" w:sz="24" w:space="0" w:color="auto"/>
              <w:left w:val="single" w:sz="8" w:space="0" w:color="auto"/>
              <w:bottom w:val="thinThickSmallGap" w:sz="24" w:space="0" w:color="auto"/>
              <w:right w:val="single" w:sz="6" w:space="0" w:color="FFFFFF" w:themeColor="background1"/>
            </w:tcBorders>
            <w:shd w:val="clear" w:color="000000" w:fill="4BACC6"/>
            <w:vAlign w:val="center"/>
            <w:hideMark/>
          </w:tcPr>
          <w:p w14:paraId="5744269B" w14:textId="77777777" w:rsidR="00FD48B2" w:rsidRPr="00CD74E6" w:rsidRDefault="00FD48B2" w:rsidP="00633D8F">
            <w:pPr>
              <w:spacing w:after="0"/>
              <w:jc w:val="center"/>
              <w:rPr>
                <w:rFonts w:ascii="Arial Narrow" w:hAnsi="Arial Narrow"/>
                <w:b/>
                <w:color w:val="000000"/>
                <w:sz w:val="22"/>
                <w:szCs w:val="22"/>
                <w:lang w:eastAsia="en-AU"/>
              </w:rPr>
            </w:pPr>
          </w:p>
        </w:tc>
        <w:tc>
          <w:tcPr>
            <w:tcW w:w="1000" w:type="pct"/>
            <w:tcBorders>
              <w:top w:val="nil"/>
              <w:left w:val="single" w:sz="6" w:space="0" w:color="FFFFFF" w:themeColor="background1"/>
              <w:bottom w:val="thinThickSmallGap" w:sz="24" w:space="0" w:color="auto"/>
              <w:right w:val="single" w:sz="12" w:space="0" w:color="FFFFFF"/>
            </w:tcBorders>
            <w:shd w:val="clear" w:color="000000" w:fill="4BACC6"/>
            <w:vAlign w:val="center"/>
            <w:hideMark/>
          </w:tcPr>
          <w:p w14:paraId="6C89E3A5" w14:textId="77777777" w:rsidR="00FD48B2" w:rsidRPr="00CD74E6" w:rsidRDefault="00FD48B2" w:rsidP="00633D8F">
            <w:pPr>
              <w:spacing w:after="0"/>
              <w:jc w:val="center"/>
              <w:rPr>
                <w:rFonts w:ascii="Arial Narrow" w:hAnsi="Arial Narrow"/>
                <w:b/>
                <w:color w:val="FFFFFF"/>
                <w:sz w:val="22"/>
                <w:szCs w:val="22"/>
                <w:lang w:eastAsia="en-AU"/>
              </w:rPr>
            </w:pPr>
            <w:r w:rsidRPr="00CD74E6">
              <w:rPr>
                <w:rFonts w:ascii="Arial Narrow" w:hAnsi="Arial Narrow"/>
                <w:b/>
                <w:color w:val="FFFFFF"/>
                <w:sz w:val="22"/>
                <w:szCs w:val="22"/>
                <w:lang w:eastAsia="en-AU"/>
              </w:rPr>
              <w:t>12/13</w:t>
            </w:r>
          </w:p>
        </w:tc>
        <w:tc>
          <w:tcPr>
            <w:tcW w:w="1000" w:type="pct"/>
            <w:tcBorders>
              <w:top w:val="nil"/>
              <w:left w:val="nil"/>
              <w:bottom w:val="thinThickSmallGap" w:sz="24" w:space="0" w:color="auto"/>
              <w:right w:val="single" w:sz="12" w:space="0" w:color="FFFFFF"/>
            </w:tcBorders>
            <w:shd w:val="clear" w:color="000000" w:fill="4BACC6"/>
            <w:vAlign w:val="center"/>
            <w:hideMark/>
          </w:tcPr>
          <w:p w14:paraId="00EF1AE5" w14:textId="77777777" w:rsidR="00FD48B2" w:rsidRPr="00CD74E6" w:rsidRDefault="00FD48B2" w:rsidP="00633D8F">
            <w:pPr>
              <w:spacing w:after="0"/>
              <w:jc w:val="center"/>
              <w:rPr>
                <w:rFonts w:ascii="Arial Narrow" w:hAnsi="Arial Narrow"/>
                <w:b/>
                <w:color w:val="FFFFFF"/>
                <w:sz w:val="22"/>
                <w:szCs w:val="22"/>
                <w:lang w:eastAsia="en-AU"/>
              </w:rPr>
            </w:pPr>
            <w:r w:rsidRPr="00CD74E6">
              <w:rPr>
                <w:rFonts w:ascii="Arial Narrow" w:hAnsi="Arial Narrow"/>
                <w:b/>
                <w:color w:val="FFFFFF"/>
                <w:sz w:val="22"/>
                <w:szCs w:val="22"/>
                <w:lang w:eastAsia="en-AU"/>
              </w:rPr>
              <w:t>13/14</w:t>
            </w:r>
          </w:p>
        </w:tc>
        <w:tc>
          <w:tcPr>
            <w:tcW w:w="1000" w:type="pct"/>
            <w:tcBorders>
              <w:top w:val="nil"/>
              <w:left w:val="nil"/>
              <w:bottom w:val="thinThickSmallGap" w:sz="24" w:space="0" w:color="auto"/>
              <w:right w:val="single" w:sz="12" w:space="0" w:color="FFFFFF"/>
            </w:tcBorders>
            <w:shd w:val="clear" w:color="000000" w:fill="4BACC6"/>
            <w:vAlign w:val="center"/>
            <w:hideMark/>
          </w:tcPr>
          <w:p w14:paraId="6FE770AC" w14:textId="77777777" w:rsidR="00FD48B2" w:rsidRPr="00CD74E6" w:rsidRDefault="00FD48B2" w:rsidP="00633D8F">
            <w:pPr>
              <w:spacing w:after="0"/>
              <w:jc w:val="center"/>
              <w:rPr>
                <w:rFonts w:ascii="Arial Narrow" w:hAnsi="Arial Narrow"/>
                <w:b/>
                <w:color w:val="FFFFFF"/>
                <w:sz w:val="22"/>
                <w:szCs w:val="22"/>
                <w:lang w:eastAsia="en-AU"/>
              </w:rPr>
            </w:pPr>
            <w:r w:rsidRPr="00CD74E6">
              <w:rPr>
                <w:rFonts w:ascii="Arial Narrow" w:hAnsi="Arial Narrow"/>
                <w:b/>
                <w:color w:val="FFFFFF"/>
                <w:sz w:val="22"/>
                <w:szCs w:val="22"/>
                <w:lang w:eastAsia="en-AU"/>
              </w:rPr>
              <w:t>17/18</w:t>
            </w:r>
          </w:p>
        </w:tc>
        <w:tc>
          <w:tcPr>
            <w:tcW w:w="1000" w:type="pct"/>
            <w:tcBorders>
              <w:top w:val="nil"/>
              <w:left w:val="nil"/>
              <w:bottom w:val="thinThickSmallGap" w:sz="24" w:space="0" w:color="auto"/>
              <w:right w:val="single" w:sz="8" w:space="0" w:color="auto"/>
            </w:tcBorders>
            <w:shd w:val="clear" w:color="000000" w:fill="4BACC6"/>
            <w:vAlign w:val="center"/>
            <w:hideMark/>
          </w:tcPr>
          <w:p w14:paraId="1CDA5A25" w14:textId="77777777" w:rsidR="00FD48B2" w:rsidRPr="00CD74E6" w:rsidRDefault="00FD48B2" w:rsidP="00633D8F">
            <w:pPr>
              <w:spacing w:after="0"/>
              <w:jc w:val="center"/>
              <w:rPr>
                <w:rFonts w:ascii="Arial Narrow" w:hAnsi="Arial Narrow"/>
                <w:b/>
                <w:color w:val="FFFFFF"/>
                <w:sz w:val="22"/>
                <w:szCs w:val="22"/>
                <w:lang w:eastAsia="en-AU"/>
              </w:rPr>
            </w:pPr>
            <w:r w:rsidRPr="00CD74E6">
              <w:rPr>
                <w:rFonts w:ascii="Arial Narrow" w:hAnsi="Arial Narrow"/>
                <w:b/>
                <w:color w:val="FFFFFF"/>
                <w:sz w:val="22"/>
                <w:szCs w:val="22"/>
                <w:lang w:eastAsia="en-AU"/>
              </w:rPr>
              <w:t>19/20</w:t>
            </w:r>
          </w:p>
        </w:tc>
      </w:tr>
      <w:tr w:rsidR="00633D8F" w:rsidRPr="00633D8F" w14:paraId="0BE524AB" w14:textId="77777777" w:rsidTr="00FD48B2">
        <w:trPr>
          <w:trHeight w:val="423"/>
        </w:trPr>
        <w:tc>
          <w:tcPr>
            <w:tcW w:w="1000" w:type="pct"/>
            <w:tcBorders>
              <w:top w:val="thinThickSmallGap" w:sz="24" w:space="0" w:color="auto"/>
              <w:left w:val="single" w:sz="8" w:space="0" w:color="auto"/>
              <w:bottom w:val="single" w:sz="8" w:space="0" w:color="auto"/>
              <w:right w:val="thinThickSmallGap" w:sz="24" w:space="0" w:color="auto"/>
            </w:tcBorders>
            <w:shd w:val="clear" w:color="auto" w:fill="B6DDE8" w:themeFill="accent5" w:themeFillTint="66"/>
            <w:vAlign w:val="center"/>
            <w:hideMark/>
          </w:tcPr>
          <w:p w14:paraId="273AC0CE" w14:textId="77777777" w:rsidR="00633D8F" w:rsidRPr="00FD48B2" w:rsidRDefault="00FD48B2" w:rsidP="00633D8F">
            <w:pPr>
              <w:spacing w:after="0"/>
              <w:jc w:val="center"/>
              <w:rPr>
                <w:rFonts w:ascii="Arial Narrow" w:hAnsi="Arial Narrow"/>
                <w:b/>
                <w:sz w:val="20"/>
                <w:lang w:eastAsia="en-AU"/>
              </w:rPr>
            </w:pPr>
            <w:r w:rsidRPr="00A667E0">
              <w:rPr>
                <w:rFonts w:ascii="Arial Narrow" w:hAnsi="Arial Narrow"/>
                <w:szCs w:val="24"/>
                <w:lang w:eastAsia="en-AU"/>
              </w:rPr>
              <w:t>Footpaths</w:t>
            </w:r>
          </w:p>
        </w:tc>
        <w:tc>
          <w:tcPr>
            <w:tcW w:w="1000" w:type="pct"/>
            <w:tcBorders>
              <w:top w:val="thinThickSmallGap" w:sz="24" w:space="0" w:color="auto"/>
              <w:left w:val="thinThickSmallGap" w:sz="24" w:space="0" w:color="auto"/>
              <w:bottom w:val="single" w:sz="8" w:space="0" w:color="auto"/>
              <w:right w:val="single" w:sz="12" w:space="0" w:color="FFFFFF"/>
            </w:tcBorders>
            <w:shd w:val="clear" w:color="000000" w:fill="B6DDE8"/>
            <w:vAlign w:val="center"/>
            <w:hideMark/>
          </w:tcPr>
          <w:p w14:paraId="14036319" w14:textId="77777777" w:rsidR="00633D8F" w:rsidRPr="00633D8F" w:rsidRDefault="00633D8F" w:rsidP="00633D8F">
            <w:pPr>
              <w:spacing w:after="0"/>
              <w:jc w:val="center"/>
              <w:rPr>
                <w:rFonts w:ascii="Arial Narrow" w:hAnsi="Arial Narrow"/>
                <w:color w:val="000000"/>
                <w:sz w:val="22"/>
                <w:szCs w:val="22"/>
                <w:lang w:eastAsia="en-AU"/>
              </w:rPr>
            </w:pPr>
            <w:r w:rsidRPr="00633D8F">
              <w:rPr>
                <w:rFonts w:ascii="Arial Narrow" w:hAnsi="Arial Narrow" w:cs="Arial"/>
                <w:color w:val="000000"/>
                <w:sz w:val="22"/>
                <w:szCs w:val="22"/>
                <w:lang w:eastAsia="en-AU"/>
              </w:rPr>
              <w:t>45%</w:t>
            </w:r>
          </w:p>
        </w:tc>
        <w:tc>
          <w:tcPr>
            <w:tcW w:w="1000" w:type="pct"/>
            <w:tcBorders>
              <w:top w:val="thinThickSmallGap" w:sz="24" w:space="0" w:color="auto"/>
              <w:left w:val="nil"/>
              <w:bottom w:val="single" w:sz="8" w:space="0" w:color="auto"/>
              <w:right w:val="single" w:sz="12" w:space="0" w:color="FFFFFF"/>
            </w:tcBorders>
            <w:shd w:val="clear" w:color="000000" w:fill="B6DDE8"/>
            <w:vAlign w:val="center"/>
            <w:hideMark/>
          </w:tcPr>
          <w:p w14:paraId="60FD7BC3" w14:textId="77777777" w:rsidR="00633D8F" w:rsidRPr="00633D8F" w:rsidRDefault="00633D8F" w:rsidP="00633D8F">
            <w:pPr>
              <w:spacing w:after="0"/>
              <w:jc w:val="center"/>
              <w:rPr>
                <w:rFonts w:ascii="Arial Narrow" w:hAnsi="Arial Narrow"/>
                <w:color w:val="000000"/>
                <w:sz w:val="22"/>
                <w:szCs w:val="22"/>
                <w:lang w:eastAsia="en-AU"/>
              </w:rPr>
            </w:pPr>
            <w:r w:rsidRPr="00633D8F">
              <w:rPr>
                <w:rFonts w:ascii="Arial Narrow" w:hAnsi="Arial Narrow" w:cs="Arial"/>
                <w:color w:val="000000"/>
                <w:sz w:val="22"/>
                <w:szCs w:val="22"/>
                <w:lang w:eastAsia="en-AU"/>
              </w:rPr>
              <w:t>32%</w:t>
            </w:r>
          </w:p>
        </w:tc>
        <w:tc>
          <w:tcPr>
            <w:tcW w:w="1000" w:type="pct"/>
            <w:tcBorders>
              <w:top w:val="thinThickSmallGap" w:sz="24" w:space="0" w:color="auto"/>
              <w:left w:val="nil"/>
              <w:bottom w:val="single" w:sz="8" w:space="0" w:color="auto"/>
              <w:right w:val="single" w:sz="12" w:space="0" w:color="FFFFFF"/>
            </w:tcBorders>
            <w:shd w:val="clear" w:color="000000" w:fill="B6DDE8"/>
            <w:vAlign w:val="center"/>
            <w:hideMark/>
          </w:tcPr>
          <w:p w14:paraId="7781E531" w14:textId="77777777" w:rsidR="00633D8F" w:rsidRPr="00633D8F" w:rsidRDefault="00633D8F" w:rsidP="00633D8F">
            <w:pPr>
              <w:spacing w:after="0"/>
              <w:jc w:val="center"/>
              <w:rPr>
                <w:rFonts w:ascii="Arial Narrow" w:hAnsi="Arial Narrow"/>
                <w:color w:val="000000"/>
                <w:sz w:val="22"/>
                <w:szCs w:val="22"/>
                <w:lang w:eastAsia="en-AU"/>
              </w:rPr>
            </w:pPr>
            <w:r w:rsidRPr="00633D8F">
              <w:rPr>
                <w:rFonts w:ascii="Arial Narrow" w:hAnsi="Arial Narrow" w:cs="Arial"/>
                <w:color w:val="000000"/>
                <w:sz w:val="22"/>
                <w:szCs w:val="22"/>
                <w:lang w:eastAsia="en-AU"/>
              </w:rPr>
              <w:t>32%</w:t>
            </w:r>
          </w:p>
        </w:tc>
        <w:tc>
          <w:tcPr>
            <w:tcW w:w="1000" w:type="pct"/>
            <w:tcBorders>
              <w:top w:val="thinThickSmallGap" w:sz="24" w:space="0" w:color="auto"/>
              <w:left w:val="nil"/>
              <w:bottom w:val="single" w:sz="8" w:space="0" w:color="auto"/>
              <w:right w:val="single" w:sz="8" w:space="0" w:color="auto"/>
            </w:tcBorders>
            <w:shd w:val="clear" w:color="000000" w:fill="B6DDE8"/>
            <w:vAlign w:val="center"/>
            <w:hideMark/>
          </w:tcPr>
          <w:p w14:paraId="4D428495" w14:textId="77777777" w:rsidR="00633D8F" w:rsidRPr="00633D8F" w:rsidRDefault="00633D8F" w:rsidP="008123FC">
            <w:pPr>
              <w:spacing w:after="0"/>
              <w:jc w:val="center"/>
              <w:rPr>
                <w:rFonts w:ascii="Arial Narrow" w:hAnsi="Arial Narrow"/>
                <w:color w:val="000000"/>
                <w:sz w:val="22"/>
                <w:szCs w:val="22"/>
                <w:lang w:eastAsia="en-AU"/>
              </w:rPr>
            </w:pPr>
            <w:r w:rsidRPr="00633D8F">
              <w:rPr>
                <w:rFonts w:ascii="Arial Narrow" w:hAnsi="Arial Narrow" w:cs="Arial"/>
                <w:color w:val="000000"/>
                <w:sz w:val="22"/>
                <w:szCs w:val="22"/>
                <w:lang w:eastAsia="en-AU"/>
              </w:rPr>
              <w:t>2</w:t>
            </w:r>
            <w:r w:rsidR="008123FC">
              <w:rPr>
                <w:rFonts w:ascii="Arial Narrow" w:hAnsi="Arial Narrow" w:cs="Arial"/>
                <w:color w:val="000000"/>
                <w:sz w:val="22"/>
                <w:szCs w:val="22"/>
                <w:lang w:eastAsia="en-AU"/>
              </w:rPr>
              <w:t>4</w:t>
            </w:r>
            <w:r w:rsidRPr="00633D8F">
              <w:rPr>
                <w:rFonts w:ascii="Arial Narrow" w:hAnsi="Arial Narrow" w:cs="Arial"/>
                <w:color w:val="000000"/>
                <w:sz w:val="22"/>
                <w:szCs w:val="22"/>
                <w:lang w:eastAsia="en-AU"/>
              </w:rPr>
              <w:t>% </w:t>
            </w:r>
          </w:p>
        </w:tc>
      </w:tr>
    </w:tbl>
    <w:p w14:paraId="70BC741B" w14:textId="77777777" w:rsidR="003A3252" w:rsidRDefault="003A3252" w:rsidP="0026613B">
      <w:pPr>
        <w:spacing w:before="60" w:after="60"/>
        <w:contextualSpacing/>
        <w:jc w:val="center"/>
      </w:pPr>
    </w:p>
    <w:tbl>
      <w:tblPr>
        <w:tblW w:w="5000" w:type="pct"/>
        <w:tblLook w:val="04A0" w:firstRow="1" w:lastRow="0" w:firstColumn="1" w:lastColumn="0" w:noHBand="0" w:noVBand="1"/>
      </w:tblPr>
      <w:tblGrid>
        <w:gridCol w:w="1418"/>
        <w:gridCol w:w="826"/>
        <w:gridCol w:w="825"/>
        <w:gridCol w:w="825"/>
        <w:gridCol w:w="825"/>
        <w:gridCol w:w="825"/>
        <w:gridCol w:w="825"/>
        <w:gridCol w:w="825"/>
        <w:gridCol w:w="825"/>
        <w:gridCol w:w="825"/>
        <w:gridCol w:w="819"/>
      </w:tblGrid>
      <w:tr w:rsidR="003C1089" w:rsidRPr="003C1089" w14:paraId="70B0FB52" w14:textId="77777777" w:rsidTr="007A0BF7">
        <w:trPr>
          <w:trHeight w:val="915"/>
        </w:trPr>
        <w:tc>
          <w:tcPr>
            <w:tcW w:w="733" w:type="pct"/>
            <w:vMerge w:val="restart"/>
            <w:tcBorders>
              <w:top w:val="single" w:sz="8" w:space="0" w:color="auto"/>
              <w:left w:val="single" w:sz="8" w:space="0" w:color="auto"/>
              <w:bottom w:val="single" w:sz="12" w:space="0" w:color="FFFFFF"/>
              <w:right w:val="single" w:sz="12" w:space="0" w:color="FFFFFF"/>
            </w:tcBorders>
            <w:shd w:val="clear" w:color="000000" w:fill="4BACC6"/>
            <w:vAlign w:val="center"/>
            <w:hideMark/>
          </w:tcPr>
          <w:p w14:paraId="08BF34A9" w14:textId="77777777" w:rsidR="003C1089" w:rsidRPr="003C1089" w:rsidRDefault="003C1089" w:rsidP="003C1089">
            <w:pPr>
              <w:spacing w:after="0"/>
              <w:jc w:val="center"/>
              <w:rPr>
                <w:rFonts w:ascii="Arial Narrow" w:hAnsi="Arial Narrow"/>
                <w:b/>
                <w:bCs/>
                <w:color w:val="FFFFFF"/>
                <w:sz w:val="20"/>
                <w:lang w:eastAsia="en-AU"/>
              </w:rPr>
            </w:pPr>
            <w:r w:rsidRPr="003C1089">
              <w:rPr>
                <w:rFonts w:ascii="Arial Narrow" w:hAnsi="Arial Narrow"/>
                <w:b/>
                <w:bCs/>
                <w:color w:val="FFFFFF"/>
                <w:sz w:val="20"/>
                <w:lang w:eastAsia="en-AU"/>
              </w:rPr>
              <w:t>Asset</w:t>
            </w:r>
          </w:p>
        </w:tc>
        <w:tc>
          <w:tcPr>
            <w:tcW w:w="4267" w:type="pct"/>
            <w:gridSpan w:val="10"/>
            <w:tcBorders>
              <w:top w:val="single" w:sz="8" w:space="0" w:color="auto"/>
              <w:left w:val="nil"/>
              <w:bottom w:val="single" w:sz="8" w:space="0" w:color="FFFFFF"/>
              <w:right w:val="single" w:sz="8" w:space="0" w:color="auto"/>
            </w:tcBorders>
            <w:shd w:val="clear" w:color="000000" w:fill="4BACC6"/>
            <w:vAlign w:val="center"/>
            <w:hideMark/>
          </w:tcPr>
          <w:p w14:paraId="2A53ECD2" w14:textId="77777777" w:rsidR="003C1089" w:rsidRPr="003C1089" w:rsidRDefault="003C1089" w:rsidP="003C1089">
            <w:pPr>
              <w:spacing w:after="0"/>
              <w:jc w:val="center"/>
              <w:rPr>
                <w:rFonts w:ascii="Arial Narrow" w:hAnsi="Arial Narrow"/>
                <w:b/>
                <w:bCs/>
                <w:color w:val="FFFFFF"/>
                <w:sz w:val="20"/>
                <w:lang w:eastAsia="en-AU"/>
              </w:rPr>
            </w:pPr>
            <w:r w:rsidRPr="003C1089">
              <w:rPr>
                <w:rFonts w:ascii="Arial Narrow" w:hAnsi="Arial Narrow"/>
                <w:b/>
                <w:bCs/>
                <w:color w:val="FFFFFF"/>
                <w:sz w:val="20"/>
                <w:lang w:eastAsia="en-AU"/>
              </w:rPr>
              <w:t>Forecast Asset Sustainability Ratio (accumulative)</w:t>
            </w:r>
          </w:p>
        </w:tc>
      </w:tr>
      <w:tr w:rsidR="003C1089" w:rsidRPr="003C1089" w14:paraId="222EC45B" w14:textId="77777777" w:rsidTr="00FD48B2">
        <w:trPr>
          <w:trHeight w:val="402"/>
        </w:trPr>
        <w:tc>
          <w:tcPr>
            <w:tcW w:w="733" w:type="pct"/>
            <w:vMerge/>
            <w:tcBorders>
              <w:top w:val="single" w:sz="8" w:space="0" w:color="FFFFFF"/>
              <w:left w:val="single" w:sz="8" w:space="0" w:color="auto"/>
              <w:bottom w:val="thinThickSmallGap" w:sz="24" w:space="0" w:color="auto"/>
              <w:right w:val="single" w:sz="12" w:space="0" w:color="FFFFFF"/>
            </w:tcBorders>
            <w:vAlign w:val="center"/>
            <w:hideMark/>
          </w:tcPr>
          <w:p w14:paraId="50A65A1F" w14:textId="77777777" w:rsidR="003C1089" w:rsidRPr="003C1089" w:rsidRDefault="003C1089" w:rsidP="003C1089">
            <w:pPr>
              <w:spacing w:after="0"/>
              <w:jc w:val="left"/>
              <w:rPr>
                <w:rFonts w:ascii="Arial Narrow" w:hAnsi="Arial Narrow"/>
                <w:b/>
                <w:bCs/>
                <w:color w:val="FFFFFF"/>
                <w:sz w:val="20"/>
                <w:lang w:eastAsia="en-AU"/>
              </w:rPr>
            </w:pPr>
          </w:p>
        </w:tc>
        <w:tc>
          <w:tcPr>
            <w:tcW w:w="427" w:type="pct"/>
            <w:tcBorders>
              <w:top w:val="nil"/>
              <w:left w:val="nil"/>
              <w:bottom w:val="thinThickSmallGap" w:sz="24" w:space="0" w:color="auto"/>
              <w:right w:val="single" w:sz="8" w:space="0" w:color="FFFFFF"/>
            </w:tcBorders>
            <w:shd w:val="clear" w:color="000000" w:fill="4BACC6"/>
            <w:vAlign w:val="center"/>
            <w:hideMark/>
          </w:tcPr>
          <w:p w14:paraId="18DC2F4E"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20/21</w:t>
            </w:r>
          </w:p>
        </w:tc>
        <w:tc>
          <w:tcPr>
            <w:tcW w:w="427" w:type="pct"/>
            <w:tcBorders>
              <w:top w:val="nil"/>
              <w:left w:val="nil"/>
              <w:bottom w:val="thinThickSmallGap" w:sz="24" w:space="0" w:color="auto"/>
              <w:right w:val="single" w:sz="8" w:space="0" w:color="FFFFFF"/>
            </w:tcBorders>
            <w:shd w:val="clear" w:color="000000" w:fill="4BACC6"/>
            <w:vAlign w:val="center"/>
            <w:hideMark/>
          </w:tcPr>
          <w:p w14:paraId="520F8738"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21/22</w:t>
            </w:r>
          </w:p>
        </w:tc>
        <w:tc>
          <w:tcPr>
            <w:tcW w:w="427" w:type="pct"/>
            <w:tcBorders>
              <w:top w:val="nil"/>
              <w:left w:val="nil"/>
              <w:bottom w:val="thinThickSmallGap" w:sz="24" w:space="0" w:color="auto"/>
              <w:right w:val="single" w:sz="8" w:space="0" w:color="FFFFFF"/>
            </w:tcBorders>
            <w:shd w:val="clear" w:color="000000" w:fill="4BACC6"/>
            <w:vAlign w:val="center"/>
            <w:hideMark/>
          </w:tcPr>
          <w:p w14:paraId="38C35EEA"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22/23</w:t>
            </w:r>
          </w:p>
        </w:tc>
        <w:tc>
          <w:tcPr>
            <w:tcW w:w="427" w:type="pct"/>
            <w:tcBorders>
              <w:top w:val="nil"/>
              <w:left w:val="nil"/>
              <w:bottom w:val="thinThickSmallGap" w:sz="24" w:space="0" w:color="auto"/>
              <w:right w:val="single" w:sz="8" w:space="0" w:color="FFFFFF"/>
            </w:tcBorders>
            <w:shd w:val="clear" w:color="000000" w:fill="4BACC6"/>
            <w:vAlign w:val="center"/>
            <w:hideMark/>
          </w:tcPr>
          <w:p w14:paraId="3A1CFC3E"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23/24</w:t>
            </w:r>
          </w:p>
        </w:tc>
        <w:tc>
          <w:tcPr>
            <w:tcW w:w="427" w:type="pct"/>
            <w:tcBorders>
              <w:top w:val="nil"/>
              <w:left w:val="nil"/>
              <w:bottom w:val="thinThickSmallGap" w:sz="24" w:space="0" w:color="auto"/>
              <w:right w:val="single" w:sz="8" w:space="0" w:color="FFFFFF"/>
            </w:tcBorders>
            <w:shd w:val="clear" w:color="000000" w:fill="4BACC6"/>
            <w:vAlign w:val="center"/>
            <w:hideMark/>
          </w:tcPr>
          <w:p w14:paraId="0505AA13"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24/25</w:t>
            </w:r>
          </w:p>
        </w:tc>
        <w:tc>
          <w:tcPr>
            <w:tcW w:w="427" w:type="pct"/>
            <w:tcBorders>
              <w:top w:val="nil"/>
              <w:left w:val="nil"/>
              <w:bottom w:val="thinThickSmallGap" w:sz="24" w:space="0" w:color="auto"/>
              <w:right w:val="nil"/>
            </w:tcBorders>
            <w:shd w:val="clear" w:color="000000" w:fill="4BACC6"/>
            <w:vAlign w:val="center"/>
            <w:hideMark/>
          </w:tcPr>
          <w:p w14:paraId="455A3C52"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25/26</w:t>
            </w:r>
          </w:p>
        </w:tc>
        <w:tc>
          <w:tcPr>
            <w:tcW w:w="427" w:type="pct"/>
            <w:tcBorders>
              <w:top w:val="nil"/>
              <w:left w:val="single" w:sz="8" w:space="0" w:color="FFFFFF"/>
              <w:bottom w:val="thinThickSmallGap" w:sz="24" w:space="0" w:color="auto"/>
              <w:right w:val="nil"/>
            </w:tcBorders>
            <w:shd w:val="clear" w:color="000000" w:fill="4BACC6"/>
            <w:vAlign w:val="center"/>
            <w:hideMark/>
          </w:tcPr>
          <w:p w14:paraId="31C8F014"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26/27</w:t>
            </w:r>
          </w:p>
        </w:tc>
        <w:tc>
          <w:tcPr>
            <w:tcW w:w="427" w:type="pct"/>
            <w:tcBorders>
              <w:top w:val="nil"/>
              <w:left w:val="single" w:sz="8" w:space="0" w:color="FFFFFF"/>
              <w:bottom w:val="thinThickSmallGap" w:sz="24" w:space="0" w:color="auto"/>
              <w:right w:val="nil"/>
            </w:tcBorders>
            <w:shd w:val="clear" w:color="000000" w:fill="4BACC6"/>
            <w:vAlign w:val="center"/>
            <w:hideMark/>
          </w:tcPr>
          <w:p w14:paraId="04AF0463"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27/28</w:t>
            </w:r>
          </w:p>
        </w:tc>
        <w:tc>
          <w:tcPr>
            <w:tcW w:w="427" w:type="pct"/>
            <w:tcBorders>
              <w:top w:val="nil"/>
              <w:left w:val="single" w:sz="8" w:space="0" w:color="FFFFFF"/>
              <w:bottom w:val="thinThickSmallGap" w:sz="24" w:space="0" w:color="auto"/>
              <w:right w:val="nil"/>
            </w:tcBorders>
            <w:shd w:val="clear" w:color="000000" w:fill="4BACC6"/>
            <w:vAlign w:val="center"/>
            <w:hideMark/>
          </w:tcPr>
          <w:p w14:paraId="49480AA1"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28/29</w:t>
            </w:r>
          </w:p>
        </w:tc>
        <w:tc>
          <w:tcPr>
            <w:tcW w:w="427" w:type="pct"/>
            <w:tcBorders>
              <w:top w:val="nil"/>
              <w:left w:val="single" w:sz="8" w:space="0" w:color="FFFFFF"/>
              <w:bottom w:val="thinThickSmallGap" w:sz="24" w:space="0" w:color="auto"/>
              <w:right w:val="single" w:sz="8" w:space="0" w:color="auto"/>
            </w:tcBorders>
            <w:shd w:val="clear" w:color="000000" w:fill="4BACC6"/>
            <w:vAlign w:val="center"/>
            <w:hideMark/>
          </w:tcPr>
          <w:p w14:paraId="6BCC92F5" w14:textId="77777777" w:rsidR="003C1089" w:rsidRPr="00CD74E6" w:rsidRDefault="003C1089" w:rsidP="003C1089">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29/30</w:t>
            </w:r>
          </w:p>
        </w:tc>
      </w:tr>
      <w:tr w:rsidR="003C1089" w:rsidRPr="003C1089" w14:paraId="6E1C241F" w14:textId="77777777" w:rsidTr="00FD48B2">
        <w:trPr>
          <w:trHeight w:val="402"/>
        </w:trPr>
        <w:tc>
          <w:tcPr>
            <w:tcW w:w="733" w:type="pct"/>
            <w:tcBorders>
              <w:top w:val="thinThickSmallGap" w:sz="24" w:space="0" w:color="auto"/>
              <w:left w:val="single" w:sz="8" w:space="0" w:color="auto"/>
              <w:bottom w:val="single" w:sz="8" w:space="0" w:color="auto"/>
              <w:right w:val="thinThickSmallGap" w:sz="24" w:space="0" w:color="auto"/>
            </w:tcBorders>
            <w:shd w:val="clear" w:color="auto" w:fill="B6DDE8" w:themeFill="accent5" w:themeFillTint="66"/>
            <w:vAlign w:val="center"/>
            <w:hideMark/>
          </w:tcPr>
          <w:p w14:paraId="772F9A91" w14:textId="77777777" w:rsidR="003C1089" w:rsidRPr="00FD48B2" w:rsidRDefault="00FD48B2" w:rsidP="003C1089">
            <w:pPr>
              <w:spacing w:after="0"/>
              <w:jc w:val="center"/>
              <w:rPr>
                <w:rFonts w:ascii="Arial Narrow" w:hAnsi="Arial Narrow"/>
                <w:b/>
                <w:bCs/>
                <w:color w:val="FFFFFF"/>
                <w:szCs w:val="24"/>
                <w:lang w:eastAsia="en-AU"/>
              </w:rPr>
            </w:pPr>
            <w:r w:rsidRPr="00A667E0">
              <w:rPr>
                <w:rFonts w:ascii="Arial Narrow" w:hAnsi="Arial Narrow"/>
                <w:szCs w:val="24"/>
                <w:lang w:eastAsia="en-AU"/>
              </w:rPr>
              <w:t>Footpaths</w:t>
            </w:r>
          </w:p>
        </w:tc>
        <w:tc>
          <w:tcPr>
            <w:tcW w:w="427" w:type="pct"/>
            <w:tcBorders>
              <w:top w:val="thinThickSmallGap" w:sz="24" w:space="0" w:color="auto"/>
              <w:left w:val="thinThickSmallGap" w:sz="24" w:space="0" w:color="auto"/>
              <w:bottom w:val="single" w:sz="8" w:space="0" w:color="auto"/>
              <w:right w:val="single" w:sz="8" w:space="0" w:color="FFFFFF"/>
            </w:tcBorders>
            <w:shd w:val="clear" w:color="000000" w:fill="B6DDE8"/>
            <w:vAlign w:val="center"/>
            <w:hideMark/>
          </w:tcPr>
          <w:p w14:paraId="78499FC3"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24%</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3B82FC0B"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38%</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2B0C03BF"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45%</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06F87063"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48%</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03FC29B6"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56%</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7BD8D0E1"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54%</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47D2368F"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52%</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6683D84D"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51%</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6B0DDF55"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50%</w:t>
            </w:r>
          </w:p>
        </w:tc>
        <w:tc>
          <w:tcPr>
            <w:tcW w:w="427" w:type="pct"/>
            <w:tcBorders>
              <w:top w:val="thinThickSmallGap" w:sz="24" w:space="0" w:color="auto"/>
              <w:left w:val="nil"/>
              <w:bottom w:val="single" w:sz="8" w:space="0" w:color="auto"/>
              <w:right w:val="single" w:sz="8" w:space="0" w:color="auto"/>
            </w:tcBorders>
            <w:shd w:val="clear" w:color="000000" w:fill="B6DDE8"/>
            <w:vAlign w:val="center"/>
            <w:hideMark/>
          </w:tcPr>
          <w:p w14:paraId="0E3DA629" w14:textId="77777777" w:rsidR="003C1089" w:rsidRPr="00FD48B2" w:rsidRDefault="003C1089" w:rsidP="003C1089">
            <w:pPr>
              <w:spacing w:after="0"/>
              <w:jc w:val="center"/>
              <w:rPr>
                <w:rFonts w:ascii="Arial Narrow" w:hAnsi="Arial Narrow"/>
                <w:color w:val="000000"/>
                <w:szCs w:val="24"/>
                <w:lang w:eastAsia="en-AU"/>
              </w:rPr>
            </w:pPr>
            <w:r w:rsidRPr="00FD48B2">
              <w:rPr>
                <w:rFonts w:ascii="Arial Narrow" w:hAnsi="Arial Narrow"/>
                <w:color w:val="000000"/>
                <w:szCs w:val="24"/>
                <w:lang w:eastAsia="en-AU"/>
              </w:rPr>
              <w:t>49%</w:t>
            </w:r>
          </w:p>
        </w:tc>
      </w:tr>
    </w:tbl>
    <w:p w14:paraId="48A2A010" w14:textId="77777777" w:rsidR="001B06CE" w:rsidRDefault="001B06CE" w:rsidP="00AD53DA">
      <w:pPr>
        <w:autoSpaceDE w:val="0"/>
        <w:autoSpaceDN w:val="0"/>
        <w:adjustRightInd w:val="0"/>
        <w:spacing w:after="0"/>
        <w:ind w:right="375"/>
        <w:jc w:val="left"/>
        <w:rPr>
          <w:rFonts w:eastAsia="+mn-ea"/>
          <w:szCs w:val="24"/>
        </w:rPr>
      </w:pPr>
    </w:p>
    <w:p w14:paraId="21E367BF" w14:textId="77777777" w:rsidR="002E2F24" w:rsidRPr="00375695" w:rsidRDefault="002E2F24" w:rsidP="002E2F24">
      <w:pPr>
        <w:pStyle w:val="ListParagraph"/>
        <w:ind w:left="0"/>
        <w:rPr>
          <w:rFonts w:cs="Arial"/>
          <w:szCs w:val="24"/>
        </w:rPr>
      </w:pPr>
      <w:r w:rsidRPr="00375695">
        <w:rPr>
          <w:rFonts w:cs="Arial"/>
          <w:szCs w:val="24"/>
        </w:rPr>
        <w:t xml:space="preserve">The ratios for the </w:t>
      </w:r>
      <w:r>
        <w:rPr>
          <w:rFonts w:cs="Arial"/>
          <w:szCs w:val="24"/>
        </w:rPr>
        <w:t>footpath</w:t>
      </w:r>
      <w:r w:rsidRPr="00375695">
        <w:rPr>
          <w:rFonts w:cs="Arial"/>
          <w:szCs w:val="24"/>
        </w:rPr>
        <w:t xml:space="preserve"> infrastructure indicate that the annual expenditure is low and that </w:t>
      </w:r>
      <w:proofErr w:type="gramStart"/>
      <w:r w:rsidRPr="00375695">
        <w:rPr>
          <w:rFonts w:cs="Arial"/>
          <w:szCs w:val="24"/>
        </w:rPr>
        <w:t>overall</w:t>
      </w:r>
      <w:proofErr w:type="gramEnd"/>
      <w:r w:rsidRPr="00375695">
        <w:rPr>
          <w:rFonts w:cs="Arial"/>
          <w:szCs w:val="24"/>
        </w:rPr>
        <w:t xml:space="preserve"> the ASR standard is not met this is due to the infant nature of assets and the lack of requirement for renewals.</w:t>
      </w:r>
    </w:p>
    <w:p w14:paraId="2C0FCD60" w14:textId="77777777" w:rsidR="00FA5036" w:rsidRPr="00A056DD" w:rsidRDefault="00FA5036" w:rsidP="00AD53DA">
      <w:pPr>
        <w:autoSpaceDE w:val="0"/>
        <w:autoSpaceDN w:val="0"/>
        <w:adjustRightInd w:val="0"/>
        <w:spacing w:after="0"/>
        <w:ind w:right="375"/>
        <w:jc w:val="left"/>
        <w:rPr>
          <w:rFonts w:eastAsia="+mn-ea"/>
          <w:szCs w:val="24"/>
        </w:rPr>
      </w:pPr>
      <w:r w:rsidRPr="00C830FF">
        <w:rPr>
          <w:rFonts w:eastAsia="+mn-ea"/>
          <w:szCs w:val="24"/>
        </w:rPr>
        <w:t xml:space="preserve">Integrated Planning and Reporting Advisory Standard </w:t>
      </w:r>
      <w:r>
        <w:rPr>
          <w:rFonts w:eastAsia="+mn-ea"/>
          <w:szCs w:val="24"/>
        </w:rPr>
        <w:t>KPI targets</w:t>
      </w:r>
      <w:r w:rsidRPr="00C830FF">
        <w:rPr>
          <w:rFonts w:eastAsia="+mn-ea"/>
          <w:szCs w:val="24"/>
        </w:rPr>
        <w:t xml:space="preserve"> are outlined below</w:t>
      </w:r>
      <w:r>
        <w:rPr>
          <w:rFonts w:eastAsia="+mn-ea"/>
          <w:szCs w:val="24"/>
        </w:rPr>
        <w:br/>
      </w:r>
    </w:p>
    <w:p w14:paraId="75469E2F" w14:textId="77777777" w:rsidR="00FA5036" w:rsidRPr="00BE20A6" w:rsidRDefault="00FA5036" w:rsidP="00AD53DA">
      <w:pPr>
        <w:autoSpaceDE w:val="0"/>
        <w:autoSpaceDN w:val="0"/>
        <w:adjustRightInd w:val="0"/>
        <w:spacing w:after="0"/>
        <w:ind w:right="375"/>
        <w:jc w:val="left"/>
        <w:rPr>
          <w:rFonts w:cs="Arial"/>
          <w:color w:val="000000" w:themeColor="text1"/>
          <w:szCs w:val="24"/>
          <w:lang w:eastAsia="en-AU"/>
        </w:rPr>
      </w:pPr>
      <w:r w:rsidRPr="00BE20A6">
        <w:rPr>
          <w:rFonts w:cs="Arial"/>
          <w:b/>
          <w:bCs/>
          <w:color w:val="000000" w:themeColor="text1"/>
          <w:szCs w:val="24"/>
          <w:lang w:eastAsia="en-AU"/>
        </w:rPr>
        <w:t>Standard is not met</w:t>
      </w:r>
      <w:r w:rsidRPr="00BE20A6">
        <w:rPr>
          <w:rFonts w:cs="Arial"/>
          <w:bCs/>
          <w:color w:val="000000" w:themeColor="text1"/>
          <w:szCs w:val="24"/>
          <w:lang w:eastAsia="en-AU"/>
        </w:rPr>
        <w:t xml:space="preserve"> </w:t>
      </w:r>
      <w:r w:rsidRPr="00BE20A6">
        <w:rPr>
          <w:rFonts w:cs="Arial"/>
          <w:color w:val="000000" w:themeColor="text1"/>
          <w:szCs w:val="24"/>
          <w:lang w:eastAsia="en-AU"/>
        </w:rPr>
        <w:t>if ratio data cannot be</w:t>
      </w:r>
      <w:r>
        <w:rPr>
          <w:rFonts w:cs="Arial"/>
          <w:color w:val="000000" w:themeColor="text1"/>
          <w:szCs w:val="24"/>
          <w:lang w:eastAsia="en-AU"/>
        </w:rPr>
        <w:t xml:space="preserve"> </w:t>
      </w:r>
      <w:r w:rsidRPr="00BE20A6">
        <w:rPr>
          <w:rFonts w:cs="Arial"/>
          <w:color w:val="000000" w:themeColor="text1"/>
          <w:szCs w:val="24"/>
          <w:lang w:eastAsia="en-AU"/>
        </w:rPr>
        <w:t>identified or ratio is less than 90%.</w:t>
      </w:r>
      <w:r w:rsidRPr="00BE20A6">
        <w:rPr>
          <w:rFonts w:cs="Arial"/>
          <w:color w:val="000000" w:themeColor="text1"/>
          <w:szCs w:val="24"/>
          <w:lang w:eastAsia="en-AU"/>
        </w:rPr>
        <w:br/>
      </w:r>
    </w:p>
    <w:p w14:paraId="312F67C3" w14:textId="77777777" w:rsidR="00FA5036" w:rsidRPr="00BE20A6" w:rsidRDefault="0008499A" w:rsidP="00AD53DA">
      <w:pPr>
        <w:autoSpaceDE w:val="0"/>
        <w:autoSpaceDN w:val="0"/>
        <w:adjustRightInd w:val="0"/>
        <w:spacing w:after="0"/>
        <w:ind w:right="375"/>
        <w:jc w:val="left"/>
        <w:rPr>
          <w:rFonts w:cs="Arial"/>
          <w:color w:val="000000" w:themeColor="text1"/>
          <w:szCs w:val="24"/>
          <w:lang w:eastAsia="en-AU"/>
        </w:rPr>
      </w:pPr>
      <w:r>
        <w:rPr>
          <w:rFonts w:cs="Arial"/>
          <w:b/>
          <w:bCs/>
          <w:color w:val="000000" w:themeColor="text1"/>
          <w:szCs w:val="24"/>
          <w:lang w:eastAsia="en-AU"/>
        </w:rPr>
        <w:t>Standard is met</w:t>
      </w:r>
      <w:r w:rsidR="00FA5036" w:rsidRPr="00BE20A6">
        <w:rPr>
          <w:rFonts w:cs="Arial"/>
          <w:color w:val="000000" w:themeColor="text1"/>
          <w:szCs w:val="24"/>
          <w:lang w:eastAsia="en-AU"/>
        </w:rPr>
        <w:t xml:space="preserve"> if ratio data can be</w:t>
      </w:r>
      <w:r w:rsidR="00FA5036">
        <w:rPr>
          <w:rFonts w:cs="Arial"/>
          <w:color w:val="000000" w:themeColor="text1"/>
          <w:szCs w:val="24"/>
          <w:lang w:eastAsia="en-AU"/>
        </w:rPr>
        <w:t xml:space="preserve"> </w:t>
      </w:r>
      <w:r w:rsidR="00FA5036" w:rsidRPr="00BE20A6">
        <w:rPr>
          <w:rFonts w:cs="Arial"/>
          <w:color w:val="000000" w:themeColor="text1"/>
          <w:szCs w:val="24"/>
          <w:lang w:eastAsia="en-AU"/>
        </w:rPr>
        <w:t>calculated and ratio is 90% or greater.</w:t>
      </w:r>
      <w:r w:rsidR="00FA5036" w:rsidRPr="00BE20A6">
        <w:rPr>
          <w:rFonts w:cs="Arial"/>
          <w:color w:val="000000" w:themeColor="text1"/>
          <w:szCs w:val="24"/>
          <w:lang w:eastAsia="en-AU"/>
        </w:rPr>
        <w:br/>
      </w:r>
    </w:p>
    <w:p w14:paraId="02AC72E5" w14:textId="77777777" w:rsidR="00FA5036" w:rsidRDefault="0008499A" w:rsidP="00AD53DA">
      <w:pPr>
        <w:autoSpaceDE w:val="0"/>
        <w:autoSpaceDN w:val="0"/>
        <w:adjustRightInd w:val="0"/>
        <w:ind w:right="375"/>
        <w:jc w:val="left"/>
        <w:rPr>
          <w:rFonts w:cs="Arial"/>
          <w:color w:val="000000" w:themeColor="text1"/>
          <w:szCs w:val="24"/>
          <w:lang w:eastAsia="en-AU"/>
        </w:rPr>
      </w:pPr>
      <w:r>
        <w:rPr>
          <w:rFonts w:cs="Arial"/>
          <w:b/>
          <w:bCs/>
          <w:color w:val="000000" w:themeColor="text1"/>
          <w:szCs w:val="24"/>
          <w:lang w:eastAsia="en-AU"/>
        </w:rPr>
        <w:t>Standard is improving</w:t>
      </w:r>
      <w:r w:rsidR="00FA5036" w:rsidRPr="00BE20A6">
        <w:rPr>
          <w:rFonts w:cs="Arial"/>
          <w:color w:val="000000" w:themeColor="text1"/>
          <w:szCs w:val="24"/>
          <w:lang w:eastAsia="en-AU"/>
        </w:rPr>
        <w:t xml:space="preserve"> if this ratio is</w:t>
      </w:r>
      <w:r w:rsidR="00FA5036">
        <w:rPr>
          <w:rFonts w:cs="Arial"/>
          <w:color w:val="000000" w:themeColor="text1"/>
          <w:szCs w:val="24"/>
          <w:lang w:eastAsia="en-AU"/>
        </w:rPr>
        <w:t xml:space="preserve"> </w:t>
      </w:r>
      <w:r w:rsidR="00FA5036" w:rsidRPr="00BE20A6">
        <w:rPr>
          <w:rFonts w:cs="Arial"/>
          <w:color w:val="000000" w:themeColor="text1"/>
          <w:szCs w:val="24"/>
          <w:lang w:eastAsia="en-AU"/>
        </w:rPr>
        <w:t>between 90% and 110%</w:t>
      </w:r>
    </w:p>
    <w:p w14:paraId="2CC06082" w14:textId="77777777" w:rsidR="00FA5036" w:rsidRPr="00EA6639" w:rsidRDefault="001B3973" w:rsidP="00AD53DA">
      <w:pPr>
        <w:pStyle w:val="Heading3"/>
        <w:ind w:right="375"/>
      </w:pPr>
      <w:bookmarkStart w:id="51" w:name="_Toc56419086"/>
      <w:r w:rsidRPr="006F08FA">
        <w:rPr>
          <w:color w:val="0070C0"/>
        </w:rPr>
        <w:t>6.3.3</w:t>
      </w:r>
      <w:r w:rsidRPr="006F08FA">
        <w:rPr>
          <w:color w:val="0070C0"/>
        </w:rPr>
        <w:tab/>
      </w:r>
      <w:r w:rsidR="00FA5036" w:rsidRPr="006F08FA">
        <w:rPr>
          <w:color w:val="0070C0"/>
        </w:rPr>
        <w:t>Asset Renewal Funding Ratio</w:t>
      </w:r>
      <w:r w:rsidR="00D56B73" w:rsidRPr="006F08FA">
        <w:rPr>
          <w:color w:val="0070C0"/>
        </w:rPr>
        <w:t xml:space="preserve"> (ARFR)</w:t>
      </w:r>
      <w:bookmarkEnd w:id="51"/>
    </w:p>
    <w:p w14:paraId="6B43203C" w14:textId="77777777" w:rsidR="00B940E7" w:rsidRPr="00375695" w:rsidRDefault="00B940E7" w:rsidP="00A06614">
      <w:pPr>
        <w:pStyle w:val="ListParagraph"/>
        <w:numPr>
          <w:ilvl w:val="0"/>
          <w:numId w:val="29"/>
        </w:numPr>
        <w:ind w:left="714" w:hanging="357"/>
        <w:contextualSpacing w:val="0"/>
        <w:rPr>
          <w:rFonts w:cs="Arial"/>
          <w:szCs w:val="24"/>
        </w:rPr>
      </w:pPr>
      <w:r w:rsidRPr="00375695">
        <w:rPr>
          <w:rFonts w:cs="Arial"/>
          <w:szCs w:val="24"/>
        </w:rPr>
        <w:t>This is an indicator as to the ability of the City to fund the projected asset renewals and replacements in the future and therefore continue to provide existing levels of service, without additional operating income or reductions in operating expenses, or an increase in net financial liabilities above that currently projected.</w:t>
      </w:r>
    </w:p>
    <w:p w14:paraId="093899CF" w14:textId="77777777" w:rsidR="00A85FCC" w:rsidRDefault="00A85FCC" w:rsidP="00A06614">
      <w:pPr>
        <w:pStyle w:val="ListParagraph"/>
        <w:numPr>
          <w:ilvl w:val="0"/>
          <w:numId w:val="29"/>
        </w:numPr>
        <w:ind w:left="714" w:hanging="357"/>
        <w:contextualSpacing w:val="0"/>
        <w:rPr>
          <w:rFonts w:cs="Arial"/>
          <w:szCs w:val="24"/>
        </w:rPr>
      </w:pPr>
      <w:r w:rsidRPr="00375695">
        <w:rPr>
          <w:rFonts w:cs="Arial"/>
          <w:szCs w:val="24"/>
        </w:rPr>
        <w:t>The ratio is calculated by dividing the planned capital expenditure (from the long term financial plan) on renewals over the next 10 years by the required (projected) capital expenditure on renewals over the same period.</w:t>
      </w:r>
    </w:p>
    <w:p w14:paraId="5B713EFD" w14:textId="77777777" w:rsidR="007C189C" w:rsidRPr="00CD74E6" w:rsidRDefault="007C189C" w:rsidP="00375695">
      <w:pPr>
        <w:pStyle w:val="ListParagraph"/>
        <w:numPr>
          <w:ilvl w:val="0"/>
          <w:numId w:val="29"/>
        </w:numPr>
        <w:ind w:left="714" w:hanging="357"/>
        <w:contextualSpacing w:val="0"/>
        <w:rPr>
          <w:rFonts w:cs="Arial"/>
          <w:szCs w:val="24"/>
        </w:rPr>
      </w:pPr>
      <w:r w:rsidRPr="00375695">
        <w:rPr>
          <w:rFonts w:cs="Arial"/>
          <w:szCs w:val="24"/>
        </w:rPr>
        <w:t>The standard is met if the ratio is between 75% and 95%.</w:t>
      </w:r>
    </w:p>
    <w:p w14:paraId="228A50DF" w14:textId="77777777" w:rsidR="00BE1565" w:rsidRDefault="00BE1565" w:rsidP="006A1785">
      <w:pPr>
        <w:ind w:right="375"/>
      </w:pPr>
      <w:r>
        <w:lastRenderedPageBreak/>
        <w:t>The forecast asset renewal funding ratios shown below have been calculated on an accumulative basis.</w:t>
      </w:r>
    </w:p>
    <w:tbl>
      <w:tblPr>
        <w:tblW w:w="5000" w:type="pct"/>
        <w:tblLook w:val="04A0" w:firstRow="1" w:lastRow="0" w:firstColumn="1" w:lastColumn="0" w:noHBand="0" w:noVBand="1"/>
      </w:tblPr>
      <w:tblGrid>
        <w:gridCol w:w="1421"/>
        <w:gridCol w:w="826"/>
        <w:gridCol w:w="825"/>
        <w:gridCol w:w="825"/>
        <w:gridCol w:w="825"/>
        <w:gridCol w:w="825"/>
        <w:gridCol w:w="825"/>
        <w:gridCol w:w="825"/>
        <w:gridCol w:w="825"/>
        <w:gridCol w:w="825"/>
        <w:gridCol w:w="816"/>
      </w:tblGrid>
      <w:tr w:rsidR="00EA0A8F" w:rsidRPr="00EA0A8F" w14:paraId="0F106F9E" w14:textId="77777777" w:rsidTr="007A0BF7">
        <w:trPr>
          <w:trHeight w:val="402"/>
        </w:trPr>
        <w:tc>
          <w:tcPr>
            <w:tcW w:w="735" w:type="pct"/>
            <w:vMerge w:val="restart"/>
            <w:tcBorders>
              <w:top w:val="single" w:sz="8" w:space="0" w:color="auto"/>
              <w:left w:val="single" w:sz="8" w:space="0" w:color="auto"/>
              <w:bottom w:val="single" w:sz="12" w:space="0" w:color="FFFFFF"/>
              <w:right w:val="single" w:sz="12" w:space="0" w:color="FFFFFF"/>
            </w:tcBorders>
            <w:shd w:val="clear" w:color="000000" w:fill="4BACC6"/>
            <w:vAlign w:val="center"/>
            <w:hideMark/>
          </w:tcPr>
          <w:p w14:paraId="2F4D3023" w14:textId="77777777" w:rsidR="00EA0A8F" w:rsidRPr="00EA0A8F" w:rsidRDefault="00EA0A8F" w:rsidP="00EA0A8F">
            <w:pPr>
              <w:spacing w:after="0"/>
              <w:jc w:val="center"/>
              <w:rPr>
                <w:rFonts w:ascii="Arial Narrow" w:hAnsi="Arial Narrow"/>
                <w:b/>
                <w:bCs/>
                <w:color w:val="FFFFFF"/>
                <w:sz w:val="20"/>
                <w:lang w:eastAsia="en-AU"/>
              </w:rPr>
            </w:pPr>
            <w:r w:rsidRPr="00EA0A8F">
              <w:rPr>
                <w:rFonts w:ascii="Arial Narrow" w:hAnsi="Arial Narrow"/>
                <w:b/>
                <w:bCs/>
                <w:color w:val="FFFFFF"/>
                <w:sz w:val="20"/>
                <w:lang w:eastAsia="en-AU"/>
              </w:rPr>
              <w:t>Asset</w:t>
            </w:r>
          </w:p>
        </w:tc>
        <w:tc>
          <w:tcPr>
            <w:tcW w:w="4265" w:type="pct"/>
            <w:gridSpan w:val="10"/>
            <w:tcBorders>
              <w:top w:val="single" w:sz="8" w:space="0" w:color="auto"/>
              <w:left w:val="nil"/>
              <w:bottom w:val="single" w:sz="12" w:space="0" w:color="FFFFFF"/>
              <w:right w:val="single" w:sz="8" w:space="0" w:color="auto"/>
            </w:tcBorders>
            <w:shd w:val="clear" w:color="000000" w:fill="4BACC6"/>
            <w:vAlign w:val="center"/>
            <w:hideMark/>
          </w:tcPr>
          <w:p w14:paraId="3F3C803D" w14:textId="77777777" w:rsidR="00EA0A8F" w:rsidRPr="00EA0A8F" w:rsidRDefault="00EA0A8F" w:rsidP="00EA0A8F">
            <w:pPr>
              <w:spacing w:after="0"/>
              <w:jc w:val="center"/>
              <w:rPr>
                <w:rFonts w:ascii="Arial Narrow" w:hAnsi="Arial Narrow"/>
                <w:b/>
                <w:bCs/>
                <w:color w:val="FFFFFF"/>
                <w:sz w:val="20"/>
                <w:lang w:eastAsia="en-AU"/>
              </w:rPr>
            </w:pPr>
            <w:r w:rsidRPr="00EA0A8F">
              <w:rPr>
                <w:rFonts w:ascii="Arial Narrow" w:hAnsi="Arial Narrow"/>
                <w:b/>
                <w:bCs/>
                <w:color w:val="FFFFFF"/>
                <w:sz w:val="20"/>
                <w:lang w:eastAsia="en-AU"/>
              </w:rPr>
              <w:t>Forecast Asset Renewal Funding Ratio</w:t>
            </w:r>
          </w:p>
        </w:tc>
      </w:tr>
      <w:tr w:rsidR="00EA0A8F" w:rsidRPr="00EA0A8F" w14:paraId="6C2BE772" w14:textId="77777777" w:rsidTr="00FD48B2">
        <w:trPr>
          <w:trHeight w:val="402"/>
        </w:trPr>
        <w:tc>
          <w:tcPr>
            <w:tcW w:w="735" w:type="pct"/>
            <w:vMerge/>
            <w:tcBorders>
              <w:top w:val="single" w:sz="8" w:space="0" w:color="FFFFFF"/>
              <w:left w:val="single" w:sz="8" w:space="0" w:color="auto"/>
              <w:bottom w:val="thinThickSmallGap" w:sz="24" w:space="0" w:color="auto"/>
              <w:right w:val="single" w:sz="12" w:space="0" w:color="FFFFFF"/>
            </w:tcBorders>
            <w:vAlign w:val="center"/>
            <w:hideMark/>
          </w:tcPr>
          <w:p w14:paraId="0496B082" w14:textId="77777777" w:rsidR="00EA0A8F" w:rsidRPr="00EA0A8F" w:rsidRDefault="00EA0A8F" w:rsidP="00EA0A8F">
            <w:pPr>
              <w:spacing w:after="0"/>
              <w:jc w:val="left"/>
              <w:rPr>
                <w:rFonts w:ascii="Arial Narrow" w:hAnsi="Arial Narrow"/>
                <w:b/>
                <w:bCs/>
                <w:color w:val="FFFFFF"/>
                <w:sz w:val="20"/>
                <w:lang w:eastAsia="en-AU"/>
              </w:rPr>
            </w:pPr>
          </w:p>
        </w:tc>
        <w:tc>
          <w:tcPr>
            <w:tcW w:w="427" w:type="pct"/>
            <w:tcBorders>
              <w:top w:val="nil"/>
              <w:left w:val="nil"/>
              <w:bottom w:val="thinThickSmallGap" w:sz="24" w:space="0" w:color="auto"/>
              <w:right w:val="single" w:sz="8" w:space="0" w:color="FFFFFF"/>
            </w:tcBorders>
            <w:shd w:val="clear" w:color="000000" w:fill="4BACC6"/>
            <w:vAlign w:val="center"/>
            <w:hideMark/>
          </w:tcPr>
          <w:p w14:paraId="23FE0FDE"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20/21</w:t>
            </w:r>
          </w:p>
        </w:tc>
        <w:tc>
          <w:tcPr>
            <w:tcW w:w="427" w:type="pct"/>
            <w:tcBorders>
              <w:top w:val="nil"/>
              <w:left w:val="nil"/>
              <w:bottom w:val="thinThickSmallGap" w:sz="24" w:space="0" w:color="auto"/>
              <w:right w:val="single" w:sz="8" w:space="0" w:color="FFFFFF"/>
            </w:tcBorders>
            <w:shd w:val="clear" w:color="000000" w:fill="4BACC6"/>
            <w:vAlign w:val="center"/>
            <w:hideMark/>
          </w:tcPr>
          <w:p w14:paraId="64B38AAB"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21/22</w:t>
            </w:r>
          </w:p>
        </w:tc>
        <w:tc>
          <w:tcPr>
            <w:tcW w:w="427" w:type="pct"/>
            <w:tcBorders>
              <w:top w:val="nil"/>
              <w:left w:val="nil"/>
              <w:bottom w:val="thinThickSmallGap" w:sz="24" w:space="0" w:color="auto"/>
              <w:right w:val="single" w:sz="8" w:space="0" w:color="FFFFFF"/>
            </w:tcBorders>
            <w:shd w:val="clear" w:color="000000" w:fill="4BACC6"/>
            <w:vAlign w:val="center"/>
            <w:hideMark/>
          </w:tcPr>
          <w:p w14:paraId="56DBA5D9"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22/23</w:t>
            </w:r>
          </w:p>
        </w:tc>
        <w:tc>
          <w:tcPr>
            <w:tcW w:w="427" w:type="pct"/>
            <w:tcBorders>
              <w:top w:val="nil"/>
              <w:left w:val="nil"/>
              <w:bottom w:val="thinThickSmallGap" w:sz="24" w:space="0" w:color="auto"/>
              <w:right w:val="single" w:sz="8" w:space="0" w:color="FFFFFF"/>
            </w:tcBorders>
            <w:shd w:val="clear" w:color="000000" w:fill="4BACC6"/>
            <w:vAlign w:val="center"/>
            <w:hideMark/>
          </w:tcPr>
          <w:p w14:paraId="43766CF8"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23/24</w:t>
            </w:r>
          </w:p>
        </w:tc>
        <w:tc>
          <w:tcPr>
            <w:tcW w:w="427" w:type="pct"/>
            <w:tcBorders>
              <w:top w:val="nil"/>
              <w:left w:val="nil"/>
              <w:bottom w:val="thinThickSmallGap" w:sz="24" w:space="0" w:color="auto"/>
              <w:right w:val="single" w:sz="8" w:space="0" w:color="FFFFFF"/>
            </w:tcBorders>
            <w:shd w:val="clear" w:color="000000" w:fill="4BACC6"/>
            <w:vAlign w:val="center"/>
            <w:hideMark/>
          </w:tcPr>
          <w:p w14:paraId="313F3897"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24/25</w:t>
            </w:r>
          </w:p>
        </w:tc>
        <w:tc>
          <w:tcPr>
            <w:tcW w:w="427" w:type="pct"/>
            <w:tcBorders>
              <w:top w:val="nil"/>
              <w:left w:val="nil"/>
              <w:bottom w:val="thinThickSmallGap" w:sz="24" w:space="0" w:color="auto"/>
              <w:right w:val="nil"/>
            </w:tcBorders>
            <w:shd w:val="clear" w:color="000000" w:fill="4BACC6"/>
            <w:vAlign w:val="center"/>
            <w:hideMark/>
          </w:tcPr>
          <w:p w14:paraId="616AD22B"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25/26</w:t>
            </w:r>
          </w:p>
        </w:tc>
        <w:tc>
          <w:tcPr>
            <w:tcW w:w="427" w:type="pct"/>
            <w:tcBorders>
              <w:top w:val="nil"/>
              <w:left w:val="single" w:sz="8" w:space="0" w:color="FFFFFF"/>
              <w:bottom w:val="thinThickSmallGap" w:sz="24" w:space="0" w:color="auto"/>
              <w:right w:val="nil"/>
            </w:tcBorders>
            <w:shd w:val="clear" w:color="000000" w:fill="4BACC6"/>
            <w:vAlign w:val="center"/>
            <w:hideMark/>
          </w:tcPr>
          <w:p w14:paraId="5A0DA93D"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26/27</w:t>
            </w:r>
          </w:p>
        </w:tc>
        <w:tc>
          <w:tcPr>
            <w:tcW w:w="427" w:type="pct"/>
            <w:tcBorders>
              <w:top w:val="nil"/>
              <w:left w:val="single" w:sz="8" w:space="0" w:color="FFFFFF"/>
              <w:bottom w:val="thinThickSmallGap" w:sz="24" w:space="0" w:color="auto"/>
              <w:right w:val="nil"/>
            </w:tcBorders>
            <w:shd w:val="clear" w:color="000000" w:fill="4BACC6"/>
            <w:vAlign w:val="center"/>
            <w:hideMark/>
          </w:tcPr>
          <w:p w14:paraId="59227F65"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27/28</w:t>
            </w:r>
          </w:p>
        </w:tc>
        <w:tc>
          <w:tcPr>
            <w:tcW w:w="427" w:type="pct"/>
            <w:tcBorders>
              <w:top w:val="nil"/>
              <w:left w:val="single" w:sz="8" w:space="0" w:color="FFFFFF"/>
              <w:bottom w:val="thinThickSmallGap" w:sz="24" w:space="0" w:color="auto"/>
              <w:right w:val="nil"/>
            </w:tcBorders>
            <w:shd w:val="clear" w:color="000000" w:fill="4BACC6"/>
            <w:vAlign w:val="center"/>
            <w:hideMark/>
          </w:tcPr>
          <w:p w14:paraId="1B7E37A9"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28/29</w:t>
            </w:r>
          </w:p>
        </w:tc>
        <w:tc>
          <w:tcPr>
            <w:tcW w:w="423" w:type="pct"/>
            <w:tcBorders>
              <w:top w:val="nil"/>
              <w:left w:val="single" w:sz="8" w:space="0" w:color="FFFFFF"/>
              <w:bottom w:val="thinThickSmallGap" w:sz="24" w:space="0" w:color="auto"/>
              <w:right w:val="single" w:sz="8" w:space="0" w:color="auto"/>
            </w:tcBorders>
            <w:shd w:val="clear" w:color="000000" w:fill="4BACC6"/>
            <w:vAlign w:val="center"/>
            <w:hideMark/>
          </w:tcPr>
          <w:p w14:paraId="542A0C6F" w14:textId="77777777" w:rsidR="00EA0A8F" w:rsidRPr="00CD74E6" w:rsidRDefault="00EA0A8F" w:rsidP="00EA0A8F">
            <w:pPr>
              <w:spacing w:after="0"/>
              <w:jc w:val="center"/>
              <w:rPr>
                <w:rFonts w:ascii="Arial Narrow" w:hAnsi="Arial Narrow"/>
                <w:b/>
                <w:color w:val="FFFFFF"/>
                <w:sz w:val="20"/>
                <w:lang w:eastAsia="en-AU"/>
              </w:rPr>
            </w:pPr>
            <w:r w:rsidRPr="00CD74E6">
              <w:rPr>
                <w:rFonts w:ascii="Arial Narrow" w:hAnsi="Arial Narrow"/>
                <w:b/>
                <w:color w:val="FFFFFF"/>
                <w:sz w:val="20"/>
                <w:lang w:eastAsia="en-AU"/>
              </w:rPr>
              <w:t>29/30</w:t>
            </w:r>
          </w:p>
        </w:tc>
      </w:tr>
      <w:tr w:rsidR="00EA0A8F" w:rsidRPr="00EA0A8F" w14:paraId="2D9327A3" w14:textId="77777777" w:rsidTr="00FD48B2">
        <w:trPr>
          <w:trHeight w:val="402"/>
        </w:trPr>
        <w:tc>
          <w:tcPr>
            <w:tcW w:w="735" w:type="pct"/>
            <w:tcBorders>
              <w:top w:val="thinThickSmallGap" w:sz="24" w:space="0" w:color="auto"/>
              <w:left w:val="single" w:sz="8" w:space="0" w:color="auto"/>
              <w:bottom w:val="single" w:sz="8" w:space="0" w:color="auto"/>
              <w:right w:val="thinThickSmallGap" w:sz="24" w:space="0" w:color="auto"/>
            </w:tcBorders>
            <w:shd w:val="clear" w:color="auto" w:fill="B6DDE8" w:themeFill="accent5" w:themeFillTint="66"/>
            <w:vAlign w:val="center"/>
            <w:hideMark/>
          </w:tcPr>
          <w:p w14:paraId="6B5AFA8B" w14:textId="77777777" w:rsidR="00EA0A8F" w:rsidRPr="00EA0A8F" w:rsidRDefault="00FD48B2" w:rsidP="00EA0A8F">
            <w:pPr>
              <w:spacing w:after="0"/>
              <w:jc w:val="center"/>
              <w:rPr>
                <w:rFonts w:ascii="Arial Narrow" w:hAnsi="Arial Narrow"/>
                <w:b/>
                <w:bCs/>
                <w:color w:val="FFFFFF"/>
                <w:sz w:val="20"/>
                <w:lang w:eastAsia="en-AU"/>
              </w:rPr>
            </w:pPr>
            <w:r w:rsidRPr="00A667E0">
              <w:rPr>
                <w:rFonts w:ascii="Arial Narrow" w:hAnsi="Arial Narrow"/>
                <w:szCs w:val="24"/>
                <w:lang w:eastAsia="en-AU"/>
              </w:rPr>
              <w:t>Footpaths</w:t>
            </w:r>
          </w:p>
        </w:tc>
        <w:tc>
          <w:tcPr>
            <w:tcW w:w="427" w:type="pct"/>
            <w:tcBorders>
              <w:top w:val="thinThickSmallGap" w:sz="24" w:space="0" w:color="auto"/>
              <w:left w:val="thinThickSmallGap" w:sz="24" w:space="0" w:color="auto"/>
              <w:bottom w:val="single" w:sz="8" w:space="0" w:color="auto"/>
              <w:right w:val="single" w:sz="8" w:space="0" w:color="FFFFFF"/>
            </w:tcBorders>
            <w:shd w:val="clear" w:color="000000" w:fill="B6DDE8"/>
            <w:vAlign w:val="center"/>
            <w:hideMark/>
          </w:tcPr>
          <w:p w14:paraId="1C4AA9B3"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100%</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775CED99"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93%</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431401EA"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94%</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719A473F"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96%</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46AC228A"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97%</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54B5DC47"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97%</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5FD068F5"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98%</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59575EB0"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98%</w:t>
            </w:r>
          </w:p>
        </w:tc>
        <w:tc>
          <w:tcPr>
            <w:tcW w:w="427" w:type="pct"/>
            <w:tcBorders>
              <w:top w:val="thinThickSmallGap" w:sz="24" w:space="0" w:color="auto"/>
              <w:left w:val="nil"/>
              <w:bottom w:val="single" w:sz="8" w:space="0" w:color="auto"/>
              <w:right w:val="single" w:sz="8" w:space="0" w:color="FFFFFF"/>
            </w:tcBorders>
            <w:shd w:val="clear" w:color="000000" w:fill="B6DDE8"/>
            <w:vAlign w:val="center"/>
            <w:hideMark/>
          </w:tcPr>
          <w:p w14:paraId="07D85E0F"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98%</w:t>
            </w:r>
          </w:p>
        </w:tc>
        <w:tc>
          <w:tcPr>
            <w:tcW w:w="423" w:type="pct"/>
            <w:tcBorders>
              <w:top w:val="thinThickSmallGap" w:sz="24" w:space="0" w:color="auto"/>
              <w:left w:val="nil"/>
              <w:bottom w:val="single" w:sz="8" w:space="0" w:color="auto"/>
              <w:right w:val="single" w:sz="8" w:space="0" w:color="auto"/>
            </w:tcBorders>
            <w:shd w:val="clear" w:color="000000" w:fill="B6DDE8"/>
            <w:vAlign w:val="center"/>
            <w:hideMark/>
          </w:tcPr>
          <w:p w14:paraId="129D09F1" w14:textId="77777777" w:rsidR="00EA0A8F" w:rsidRPr="00EA0A8F" w:rsidRDefault="00EA0A8F" w:rsidP="00EA0A8F">
            <w:pPr>
              <w:spacing w:after="0"/>
              <w:jc w:val="center"/>
              <w:rPr>
                <w:rFonts w:ascii="Arial Narrow" w:hAnsi="Arial Narrow"/>
                <w:color w:val="000000"/>
                <w:sz w:val="20"/>
                <w:lang w:eastAsia="en-AU"/>
              </w:rPr>
            </w:pPr>
            <w:r w:rsidRPr="00EA0A8F">
              <w:rPr>
                <w:rFonts w:ascii="Arial Narrow" w:hAnsi="Arial Narrow"/>
                <w:color w:val="000000"/>
                <w:sz w:val="20"/>
                <w:lang w:eastAsia="en-AU"/>
              </w:rPr>
              <w:t>98%</w:t>
            </w:r>
          </w:p>
        </w:tc>
      </w:tr>
    </w:tbl>
    <w:p w14:paraId="01645DD4" w14:textId="77777777" w:rsidR="00AA3307" w:rsidRDefault="00AA3307" w:rsidP="00AD53DA">
      <w:pPr>
        <w:autoSpaceDE w:val="0"/>
        <w:autoSpaceDN w:val="0"/>
        <w:adjustRightInd w:val="0"/>
        <w:spacing w:before="240" w:after="0"/>
        <w:ind w:right="375"/>
        <w:jc w:val="left"/>
        <w:rPr>
          <w:rFonts w:eastAsia="+mn-ea"/>
          <w:szCs w:val="24"/>
        </w:rPr>
      </w:pPr>
    </w:p>
    <w:p w14:paraId="027037AE" w14:textId="77777777" w:rsidR="00D57CC7" w:rsidRPr="00375695" w:rsidRDefault="00D57CC7" w:rsidP="00D57CC7">
      <w:pPr>
        <w:pStyle w:val="ListParagraph"/>
        <w:ind w:left="0"/>
        <w:rPr>
          <w:rFonts w:cs="Arial"/>
          <w:szCs w:val="24"/>
        </w:rPr>
      </w:pPr>
      <w:r w:rsidRPr="00375695">
        <w:rPr>
          <w:rFonts w:cs="Arial"/>
          <w:szCs w:val="24"/>
        </w:rPr>
        <w:t xml:space="preserve">The target ratio should be between 95% and 105% which indicates that adequate provision / expenditure is being made for the </w:t>
      </w:r>
      <w:r w:rsidRPr="00375695">
        <w:rPr>
          <w:rFonts w:cs="Arial"/>
          <w:i/>
          <w:szCs w:val="24"/>
        </w:rPr>
        <w:t>future</w:t>
      </w:r>
      <w:r w:rsidRPr="00375695">
        <w:rPr>
          <w:rFonts w:cs="Arial"/>
          <w:szCs w:val="24"/>
        </w:rPr>
        <w:t xml:space="preserve"> renewal and replacement of assets. </w:t>
      </w:r>
      <w:proofErr w:type="gramStart"/>
      <w:r w:rsidRPr="00375695">
        <w:rPr>
          <w:rFonts w:cs="Arial"/>
          <w:szCs w:val="24"/>
        </w:rPr>
        <w:t>Overall</w:t>
      </w:r>
      <w:proofErr w:type="gramEnd"/>
      <w:r w:rsidRPr="00375695">
        <w:rPr>
          <w:rFonts w:cs="Arial"/>
          <w:szCs w:val="24"/>
        </w:rPr>
        <w:t xml:space="preserve"> the standard is met.</w:t>
      </w:r>
    </w:p>
    <w:p w14:paraId="2614C164" w14:textId="77777777" w:rsidR="00FA5036" w:rsidRPr="00A056DD" w:rsidRDefault="00FA5036" w:rsidP="00AD53DA">
      <w:pPr>
        <w:autoSpaceDE w:val="0"/>
        <w:autoSpaceDN w:val="0"/>
        <w:adjustRightInd w:val="0"/>
        <w:spacing w:before="240" w:after="0"/>
        <w:ind w:right="375"/>
        <w:jc w:val="left"/>
        <w:rPr>
          <w:rFonts w:eastAsia="+mn-ea"/>
          <w:szCs w:val="24"/>
        </w:rPr>
      </w:pPr>
      <w:r w:rsidRPr="00C830FF">
        <w:rPr>
          <w:rFonts w:eastAsia="+mn-ea"/>
          <w:szCs w:val="24"/>
        </w:rPr>
        <w:t xml:space="preserve">Integrated Planning and Reporting Advisory Standard </w:t>
      </w:r>
      <w:r>
        <w:rPr>
          <w:rFonts w:eastAsia="+mn-ea"/>
          <w:szCs w:val="24"/>
        </w:rPr>
        <w:t>KPI targets</w:t>
      </w:r>
      <w:r w:rsidRPr="00C830FF">
        <w:rPr>
          <w:rFonts w:eastAsia="+mn-ea"/>
          <w:szCs w:val="24"/>
        </w:rPr>
        <w:t xml:space="preserve"> are outlined below</w:t>
      </w:r>
      <w:r>
        <w:rPr>
          <w:rFonts w:eastAsia="+mn-ea"/>
          <w:szCs w:val="24"/>
        </w:rPr>
        <w:br/>
      </w:r>
    </w:p>
    <w:p w14:paraId="054BDAA1" w14:textId="77777777" w:rsidR="00FA5036" w:rsidRPr="00BE20A6" w:rsidRDefault="00FA5036" w:rsidP="00AD53DA">
      <w:pPr>
        <w:autoSpaceDE w:val="0"/>
        <w:autoSpaceDN w:val="0"/>
        <w:adjustRightInd w:val="0"/>
        <w:spacing w:after="0"/>
        <w:ind w:right="375"/>
        <w:jc w:val="left"/>
        <w:rPr>
          <w:rFonts w:cs="Arial"/>
          <w:color w:val="000000" w:themeColor="text1"/>
          <w:szCs w:val="24"/>
          <w:lang w:eastAsia="en-AU"/>
        </w:rPr>
      </w:pPr>
      <w:r w:rsidRPr="00BE20A6">
        <w:rPr>
          <w:rFonts w:cs="Arial"/>
          <w:b/>
          <w:bCs/>
          <w:color w:val="000000" w:themeColor="text1"/>
          <w:szCs w:val="24"/>
          <w:lang w:eastAsia="en-AU"/>
        </w:rPr>
        <w:t xml:space="preserve">Standard is not met </w:t>
      </w:r>
      <w:r w:rsidRPr="00BE20A6">
        <w:rPr>
          <w:rFonts w:cs="Arial"/>
          <w:color w:val="000000" w:themeColor="text1"/>
          <w:szCs w:val="24"/>
          <w:lang w:eastAsia="en-AU"/>
        </w:rPr>
        <w:t>if ratio data cannot be</w:t>
      </w:r>
      <w:r>
        <w:rPr>
          <w:rFonts w:cs="Arial"/>
          <w:color w:val="000000" w:themeColor="text1"/>
          <w:szCs w:val="24"/>
          <w:lang w:eastAsia="en-AU"/>
        </w:rPr>
        <w:t xml:space="preserve"> </w:t>
      </w:r>
      <w:r w:rsidRPr="00BE20A6">
        <w:rPr>
          <w:rFonts w:cs="Arial"/>
          <w:color w:val="000000" w:themeColor="text1"/>
          <w:szCs w:val="24"/>
          <w:lang w:eastAsia="en-AU"/>
        </w:rPr>
        <w:t>identified or ratio is less than 75%</w:t>
      </w:r>
      <w:r>
        <w:rPr>
          <w:rFonts w:cs="Arial"/>
          <w:color w:val="000000" w:themeColor="text1"/>
          <w:szCs w:val="24"/>
          <w:lang w:eastAsia="en-AU"/>
        </w:rPr>
        <w:br/>
      </w:r>
    </w:p>
    <w:p w14:paraId="4A0F0DA5" w14:textId="77777777" w:rsidR="00FA5036" w:rsidRPr="00BE20A6" w:rsidRDefault="0008499A" w:rsidP="00AD53DA">
      <w:pPr>
        <w:autoSpaceDE w:val="0"/>
        <w:autoSpaceDN w:val="0"/>
        <w:adjustRightInd w:val="0"/>
        <w:spacing w:after="0"/>
        <w:ind w:right="375"/>
        <w:jc w:val="left"/>
        <w:rPr>
          <w:rFonts w:cs="Arial"/>
          <w:color w:val="000000" w:themeColor="text1"/>
          <w:szCs w:val="24"/>
          <w:lang w:eastAsia="en-AU"/>
        </w:rPr>
      </w:pPr>
      <w:r>
        <w:rPr>
          <w:rFonts w:cs="Arial"/>
          <w:b/>
          <w:bCs/>
          <w:color w:val="000000" w:themeColor="text1"/>
          <w:szCs w:val="24"/>
          <w:lang w:eastAsia="en-AU"/>
        </w:rPr>
        <w:t>Standard is met</w:t>
      </w:r>
      <w:r w:rsidR="00FA5036" w:rsidRPr="00BE20A6">
        <w:rPr>
          <w:rFonts w:cs="Arial"/>
          <w:color w:val="000000" w:themeColor="text1"/>
          <w:szCs w:val="24"/>
          <w:lang w:eastAsia="en-AU"/>
        </w:rPr>
        <w:t xml:space="preserve"> if </w:t>
      </w:r>
      <w:r>
        <w:rPr>
          <w:rFonts w:cs="Arial"/>
          <w:color w:val="000000" w:themeColor="text1"/>
          <w:szCs w:val="24"/>
          <w:lang w:eastAsia="en-AU"/>
        </w:rPr>
        <w:t xml:space="preserve">the </w:t>
      </w:r>
      <w:r w:rsidR="00FA5036" w:rsidRPr="00BE20A6">
        <w:rPr>
          <w:rFonts w:cs="Arial"/>
          <w:color w:val="000000" w:themeColor="text1"/>
          <w:szCs w:val="24"/>
          <w:lang w:eastAsia="en-AU"/>
        </w:rPr>
        <w:t>ratio is between 75% and</w:t>
      </w:r>
      <w:r>
        <w:rPr>
          <w:rFonts w:cs="Arial"/>
          <w:color w:val="000000" w:themeColor="text1"/>
          <w:szCs w:val="24"/>
          <w:lang w:eastAsia="en-AU"/>
        </w:rPr>
        <w:t xml:space="preserve"> </w:t>
      </w:r>
      <w:r w:rsidR="00FA5036" w:rsidRPr="00BE20A6">
        <w:rPr>
          <w:rFonts w:cs="Arial"/>
          <w:color w:val="000000" w:themeColor="text1"/>
          <w:szCs w:val="24"/>
          <w:lang w:eastAsia="en-AU"/>
        </w:rPr>
        <w:t>95%.</w:t>
      </w:r>
      <w:r w:rsidR="00FA5036">
        <w:rPr>
          <w:rFonts w:cs="Arial"/>
          <w:color w:val="000000" w:themeColor="text1"/>
          <w:szCs w:val="24"/>
          <w:lang w:eastAsia="en-AU"/>
        </w:rPr>
        <w:br/>
      </w:r>
    </w:p>
    <w:p w14:paraId="0081FCA4" w14:textId="61604F15" w:rsidR="00314CCE" w:rsidRPr="006F08FA" w:rsidRDefault="0008499A" w:rsidP="006F08FA">
      <w:pPr>
        <w:autoSpaceDE w:val="0"/>
        <w:autoSpaceDN w:val="0"/>
        <w:adjustRightInd w:val="0"/>
        <w:ind w:right="375"/>
        <w:jc w:val="left"/>
        <w:rPr>
          <w:rFonts w:cs="Arial"/>
          <w:color w:val="000000" w:themeColor="text1"/>
          <w:szCs w:val="24"/>
          <w:lang w:eastAsia="en-AU"/>
        </w:rPr>
      </w:pPr>
      <w:r>
        <w:rPr>
          <w:rFonts w:cs="Arial"/>
          <w:b/>
          <w:bCs/>
          <w:color w:val="000000" w:themeColor="text1"/>
          <w:szCs w:val="24"/>
          <w:lang w:eastAsia="en-AU"/>
        </w:rPr>
        <w:t xml:space="preserve">Standard is improving </w:t>
      </w:r>
      <w:r w:rsidR="00FA5036" w:rsidRPr="00BE20A6">
        <w:rPr>
          <w:rFonts w:cs="Arial"/>
          <w:color w:val="000000" w:themeColor="text1"/>
          <w:szCs w:val="24"/>
          <w:lang w:eastAsia="en-AU"/>
        </w:rPr>
        <w:t>if this ratio is</w:t>
      </w:r>
      <w:r w:rsidR="00FA5036">
        <w:rPr>
          <w:rFonts w:cs="Arial"/>
          <w:color w:val="000000" w:themeColor="text1"/>
          <w:szCs w:val="24"/>
          <w:lang w:eastAsia="en-AU"/>
        </w:rPr>
        <w:t xml:space="preserve"> </w:t>
      </w:r>
      <w:r w:rsidR="00FA5036" w:rsidRPr="00BE20A6">
        <w:rPr>
          <w:rFonts w:cs="Arial"/>
          <w:color w:val="000000" w:themeColor="text1"/>
          <w:szCs w:val="24"/>
          <w:lang w:eastAsia="en-AU"/>
        </w:rPr>
        <w:t>between 95% and 105% and the ASR falls</w:t>
      </w:r>
      <w:r w:rsidR="00FA5036">
        <w:rPr>
          <w:rFonts w:cs="Arial"/>
          <w:color w:val="000000" w:themeColor="text1"/>
          <w:szCs w:val="24"/>
          <w:lang w:eastAsia="en-AU"/>
        </w:rPr>
        <w:t xml:space="preserve"> </w:t>
      </w:r>
      <w:r w:rsidR="00FA5036" w:rsidRPr="00BE20A6">
        <w:rPr>
          <w:rFonts w:cs="Arial"/>
          <w:color w:val="000000" w:themeColor="text1"/>
          <w:szCs w:val="24"/>
          <w:lang w:eastAsia="en-AU"/>
        </w:rPr>
        <w:t>within the range 90% to 110% and ACR falls</w:t>
      </w:r>
      <w:r w:rsidR="00FA5036">
        <w:rPr>
          <w:rFonts w:cs="Arial"/>
          <w:color w:val="000000" w:themeColor="text1"/>
          <w:szCs w:val="24"/>
          <w:lang w:eastAsia="en-AU"/>
        </w:rPr>
        <w:t xml:space="preserve"> </w:t>
      </w:r>
      <w:r w:rsidR="00FA5036" w:rsidRPr="00BE20A6">
        <w:rPr>
          <w:rFonts w:cs="Arial"/>
          <w:color w:val="000000" w:themeColor="text1"/>
          <w:szCs w:val="24"/>
          <w:lang w:eastAsia="en-AU"/>
        </w:rPr>
        <w:t>within the range of 50% to 75%.</w:t>
      </w:r>
    </w:p>
    <w:p w14:paraId="15C5DE25" w14:textId="77777777" w:rsidR="00363480" w:rsidRPr="00EA6639" w:rsidRDefault="005708F5" w:rsidP="00140CAE">
      <w:pPr>
        <w:pStyle w:val="Heading2"/>
      </w:pPr>
      <w:bookmarkStart w:id="52" w:name="_Toc56419087"/>
      <w:r w:rsidRPr="00EA6639">
        <w:t>6</w:t>
      </w:r>
      <w:r w:rsidR="00363480" w:rsidRPr="00EA6639">
        <w:t>.</w:t>
      </w:r>
      <w:r w:rsidR="001B3973">
        <w:t>4</w:t>
      </w:r>
      <w:r w:rsidR="00363480" w:rsidRPr="00EA6639">
        <w:tab/>
        <w:t>Valuation Forecasts</w:t>
      </w:r>
      <w:bookmarkEnd w:id="52"/>
    </w:p>
    <w:p w14:paraId="62E7FE9E" w14:textId="77777777" w:rsidR="00AE7F9B" w:rsidRDefault="00C0534A" w:rsidP="00966D67">
      <w:r w:rsidRPr="00EA6639">
        <w:t xml:space="preserve">Asset values are forecast to increase </w:t>
      </w:r>
      <w:r w:rsidR="005F3C73" w:rsidRPr="00EA6639">
        <w:t>as additional assets are added to the asset stock from construction and acquisition by Council</w:t>
      </w:r>
      <w:r w:rsidR="00AE7F9B">
        <w:t>,</w:t>
      </w:r>
      <w:r w:rsidR="005F3C73" w:rsidRPr="00EA6639">
        <w:t xml:space="preserve"> and from assets constructed by land developers and others and donated to Council.  </w:t>
      </w:r>
    </w:p>
    <w:p w14:paraId="791FDC2F" w14:textId="77777777" w:rsidR="00696DEE" w:rsidRDefault="00696DEE" w:rsidP="00966D67">
      <w:r w:rsidRPr="00375695">
        <w:t>Graph 6.4.1 shows the projected depreciated replacement cost / asset values over the next 10 years, and the fair value also known as the depreciated replacement cost (WDV) is the current replacement cost less accumulated depreciation. These figures include the projected growth and capital upgrade / new as mentioned in section 6.1.</w:t>
      </w:r>
    </w:p>
    <w:p w14:paraId="564EE511" w14:textId="77777777" w:rsidR="00096066" w:rsidRPr="006F08FA" w:rsidRDefault="00BC6434" w:rsidP="00616E47">
      <w:pPr>
        <w:keepNext/>
        <w:rPr>
          <w:b/>
          <w:iCs/>
          <w:color w:val="0070C0"/>
          <w:szCs w:val="22"/>
        </w:rPr>
      </w:pPr>
      <w:r w:rsidRPr="006F08FA">
        <w:rPr>
          <w:b/>
          <w:iCs/>
          <w:color w:val="0070C0"/>
          <w:szCs w:val="22"/>
        </w:rPr>
        <w:lastRenderedPageBreak/>
        <w:t>Graph 6.4.1</w:t>
      </w:r>
      <w:r w:rsidR="006A442F" w:rsidRPr="006F08FA">
        <w:rPr>
          <w:b/>
          <w:iCs/>
          <w:color w:val="0070C0"/>
          <w:szCs w:val="22"/>
        </w:rPr>
        <w:tab/>
        <w:t xml:space="preserve">Projected </w:t>
      </w:r>
      <w:r w:rsidR="00F5347B" w:rsidRPr="006F08FA">
        <w:rPr>
          <w:b/>
          <w:iCs/>
          <w:color w:val="0070C0"/>
          <w:szCs w:val="22"/>
        </w:rPr>
        <w:t xml:space="preserve">Asset </w:t>
      </w:r>
      <w:r w:rsidR="006A442F" w:rsidRPr="006F08FA">
        <w:rPr>
          <w:b/>
          <w:iCs/>
          <w:color w:val="0070C0"/>
          <w:szCs w:val="22"/>
        </w:rPr>
        <w:t>Values</w:t>
      </w:r>
      <w:r w:rsidRPr="006F08FA">
        <w:rPr>
          <w:b/>
          <w:iCs/>
          <w:color w:val="0070C0"/>
          <w:szCs w:val="22"/>
        </w:rPr>
        <w:t xml:space="preserve"> (CRC) and Fair Value (WDV)</w:t>
      </w:r>
      <w:r w:rsidR="006A442F" w:rsidRPr="006F08FA">
        <w:rPr>
          <w:b/>
          <w:iCs/>
          <w:color w:val="0070C0"/>
          <w:szCs w:val="22"/>
        </w:rPr>
        <w:t xml:space="preserve"> </w:t>
      </w:r>
    </w:p>
    <w:p w14:paraId="2BB6AFE4" w14:textId="77777777" w:rsidR="00F61B41" w:rsidRDefault="009F1FB1" w:rsidP="00AD53DA">
      <w:pPr>
        <w:spacing w:after="0"/>
        <w:ind w:right="375"/>
        <w:jc w:val="left"/>
        <w:rPr>
          <w:rFonts w:cs="Arial"/>
          <w:szCs w:val="24"/>
        </w:rPr>
      </w:pPr>
      <w:r>
        <w:rPr>
          <w:noProof/>
          <w:lang w:eastAsia="en-AU"/>
        </w:rPr>
        <w:drawing>
          <wp:inline distT="0" distB="0" distL="0" distR="0" wp14:anchorId="280AFA3E" wp14:editId="482EEF52">
            <wp:extent cx="5943600" cy="4195445"/>
            <wp:effectExtent l="0" t="0" r="1905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869B31" w14:textId="77777777" w:rsidR="00E30C26" w:rsidRDefault="00E30C26" w:rsidP="00AD53DA">
      <w:pPr>
        <w:pStyle w:val="BodyText"/>
        <w:ind w:right="375"/>
        <w:rPr>
          <w:rFonts w:cs="Arial"/>
          <w:szCs w:val="24"/>
        </w:rPr>
      </w:pPr>
    </w:p>
    <w:p w14:paraId="38FC66B7" w14:textId="77777777" w:rsidR="0008470E" w:rsidRPr="00375695" w:rsidRDefault="0008470E" w:rsidP="0008470E">
      <w:pPr>
        <w:pStyle w:val="BodyText"/>
        <w:spacing w:after="120"/>
        <w:rPr>
          <w:szCs w:val="24"/>
        </w:rPr>
      </w:pPr>
      <w:r w:rsidRPr="00375695">
        <w:rPr>
          <w:szCs w:val="24"/>
        </w:rPr>
        <w:t>The fair value will vary over the forecast period depending on the rates of addition of new assets, disposal of old assets and consumption and renewal of existing assets.</w:t>
      </w:r>
    </w:p>
    <w:p w14:paraId="45FD51FF" w14:textId="77777777" w:rsidR="0008470E" w:rsidRDefault="0008470E" w:rsidP="0008470E">
      <w:pPr>
        <w:pStyle w:val="BodyText"/>
        <w:spacing w:after="0"/>
        <w:rPr>
          <w:szCs w:val="24"/>
        </w:rPr>
      </w:pPr>
      <w:r w:rsidRPr="00375695">
        <w:rPr>
          <w:szCs w:val="24"/>
        </w:rPr>
        <w:t>Depreciation expense values are forecast to trend in line with asset values as shown in the Graph 6.4.2. The yellow highlighted line provides the current depreciation expense note that all costs are shown in current 20</w:t>
      </w:r>
      <w:r w:rsidR="00956B63">
        <w:rPr>
          <w:szCs w:val="24"/>
        </w:rPr>
        <w:t>20</w:t>
      </w:r>
      <w:r w:rsidRPr="00375695">
        <w:rPr>
          <w:szCs w:val="24"/>
        </w:rPr>
        <w:t xml:space="preserve"> dollar values and a 2% CPI increase per year forward.</w:t>
      </w:r>
    </w:p>
    <w:p w14:paraId="223F8379" w14:textId="77777777" w:rsidR="00AE1D07" w:rsidRDefault="00AE1D07" w:rsidP="00AD53DA">
      <w:pPr>
        <w:spacing w:after="0"/>
        <w:ind w:right="375"/>
        <w:jc w:val="left"/>
        <w:rPr>
          <w:rFonts w:cs="Arial"/>
          <w:b/>
          <w:i/>
          <w:color w:val="0070C0"/>
          <w:szCs w:val="24"/>
        </w:rPr>
      </w:pPr>
    </w:p>
    <w:p w14:paraId="79A378A5" w14:textId="77777777" w:rsidR="00096066" w:rsidRPr="006F08FA" w:rsidRDefault="00161262" w:rsidP="00616E47">
      <w:pPr>
        <w:keepNext/>
        <w:rPr>
          <w:b/>
          <w:iCs/>
          <w:color w:val="0070C0"/>
          <w:szCs w:val="22"/>
        </w:rPr>
      </w:pPr>
      <w:r w:rsidRPr="006F08FA">
        <w:rPr>
          <w:b/>
          <w:iCs/>
          <w:color w:val="0070C0"/>
          <w:szCs w:val="22"/>
        </w:rPr>
        <w:lastRenderedPageBreak/>
        <w:t>Graph 6.4.2</w:t>
      </w:r>
      <w:r w:rsidR="007B772B" w:rsidRPr="006F08FA">
        <w:rPr>
          <w:b/>
          <w:iCs/>
          <w:color w:val="0070C0"/>
          <w:szCs w:val="22"/>
        </w:rPr>
        <w:tab/>
        <w:t xml:space="preserve">Projected Depreciation Expense </w:t>
      </w:r>
    </w:p>
    <w:p w14:paraId="0F583AEB" w14:textId="77777777" w:rsidR="00B82805" w:rsidRPr="00EA6639" w:rsidRDefault="0028090F" w:rsidP="00AD53DA">
      <w:pPr>
        <w:pStyle w:val="BodyText"/>
        <w:spacing w:after="480"/>
        <w:ind w:right="375"/>
        <w:jc w:val="center"/>
        <w:rPr>
          <w:rFonts w:cs="Arial"/>
          <w:szCs w:val="24"/>
        </w:rPr>
      </w:pPr>
      <w:r>
        <w:rPr>
          <w:noProof/>
          <w:lang w:eastAsia="en-AU"/>
        </w:rPr>
        <w:drawing>
          <wp:inline distT="0" distB="0" distL="0" distR="0" wp14:anchorId="4B9FEB9D" wp14:editId="511EC32C">
            <wp:extent cx="5943600" cy="3681730"/>
            <wp:effectExtent l="0" t="0" r="19050"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D90F47" w14:textId="77777777" w:rsidR="00363480" w:rsidRPr="00EA6639" w:rsidRDefault="005708F5" w:rsidP="00140CAE">
      <w:pPr>
        <w:pStyle w:val="Heading2"/>
      </w:pPr>
      <w:bookmarkStart w:id="53" w:name="_Toc56419088"/>
      <w:r w:rsidRPr="00EA6639">
        <w:t>6</w:t>
      </w:r>
      <w:r w:rsidR="00363480" w:rsidRPr="00EA6639">
        <w:t>.</w:t>
      </w:r>
      <w:r w:rsidR="001B3973">
        <w:t>5</w:t>
      </w:r>
      <w:r w:rsidR="00363480" w:rsidRPr="00EA6639">
        <w:tab/>
        <w:t>Key Assumptions made in Financial Forecasts</w:t>
      </w:r>
      <w:bookmarkEnd w:id="53"/>
    </w:p>
    <w:p w14:paraId="102C02B1" w14:textId="77777777" w:rsidR="00363480" w:rsidRPr="00EA6639" w:rsidRDefault="007B772B" w:rsidP="0000171D">
      <w:r w:rsidRPr="00EA6639">
        <w:t xml:space="preserve">This section details the key assumptions made in presenting the information contained in this asset management plan and in preparing forecasts of </w:t>
      </w:r>
      <w:r w:rsidR="00057636" w:rsidRPr="00EA6639">
        <w:t>required</w:t>
      </w:r>
      <w:r w:rsidRPr="00EA6639">
        <w:t xml:space="preserve"> operating and capital expenditure and asset values</w:t>
      </w:r>
      <w:r w:rsidR="00057636" w:rsidRPr="00EA6639">
        <w:t xml:space="preserve">, </w:t>
      </w:r>
      <w:r w:rsidRPr="00EA6639">
        <w:t xml:space="preserve">depreciation expense </w:t>
      </w:r>
      <w:r w:rsidR="00057636" w:rsidRPr="00EA6639">
        <w:t xml:space="preserve">and </w:t>
      </w:r>
      <w:r w:rsidR="002B4441" w:rsidRPr="00EA6639">
        <w:t>carrying</w:t>
      </w:r>
      <w:r w:rsidR="00057636" w:rsidRPr="00EA6639">
        <w:t xml:space="preserve"> </w:t>
      </w:r>
      <w:r w:rsidR="00DE774D" w:rsidRPr="00EA6639">
        <w:t>amount</w:t>
      </w:r>
      <w:r w:rsidR="00057636" w:rsidRPr="00EA6639">
        <w:t xml:space="preserve"> </w:t>
      </w:r>
      <w:r w:rsidRPr="00EA6639">
        <w:t>estimates.  It is presented to enable readers to gain an understanding of the levels of confidence in the data behind the financial forecasts.</w:t>
      </w:r>
    </w:p>
    <w:p w14:paraId="0370095C" w14:textId="77777777" w:rsidR="007B772B" w:rsidRPr="00EA6639" w:rsidRDefault="007B772B" w:rsidP="00AD53DA">
      <w:pPr>
        <w:pStyle w:val="BodyText"/>
        <w:spacing w:after="120"/>
        <w:ind w:right="375"/>
        <w:rPr>
          <w:rFonts w:cs="Arial"/>
          <w:szCs w:val="24"/>
        </w:rPr>
      </w:pPr>
      <w:r w:rsidRPr="00EA6639">
        <w:rPr>
          <w:rFonts w:cs="Arial"/>
          <w:szCs w:val="24"/>
        </w:rPr>
        <w:t xml:space="preserve">Key assumptions made in this </w:t>
      </w:r>
      <w:r w:rsidR="0061715F" w:rsidRPr="00EA6639">
        <w:rPr>
          <w:rFonts w:cs="Arial"/>
          <w:szCs w:val="24"/>
        </w:rPr>
        <w:t>asset management plan</w:t>
      </w:r>
      <w:r w:rsidR="00A95515" w:rsidRPr="00EA6639">
        <w:rPr>
          <w:rFonts w:cs="Arial"/>
          <w:szCs w:val="24"/>
        </w:rPr>
        <w:t xml:space="preserve"> </w:t>
      </w:r>
      <w:r w:rsidRPr="00EA6639">
        <w:rPr>
          <w:rFonts w:cs="Arial"/>
          <w:szCs w:val="24"/>
        </w:rPr>
        <w:t>are:</w:t>
      </w:r>
    </w:p>
    <w:p w14:paraId="7C23C5B7" w14:textId="77777777" w:rsidR="00E7771E" w:rsidRPr="00EA6639" w:rsidRDefault="00E72517" w:rsidP="00375695">
      <w:pPr>
        <w:pStyle w:val="BodyText"/>
        <w:numPr>
          <w:ilvl w:val="0"/>
          <w:numId w:val="1"/>
        </w:numPr>
        <w:spacing w:after="120"/>
        <w:ind w:left="714" w:right="375" w:hanging="357"/>
        <w:rPr>
          <w:rFonts w:cs="Arial"/>
          <w:szCs w:val="24"/>
        </w:rPr>
      </w:pPr>
      <w:r w:rsidRPr="00EA6639">
        <w:rPr>
          <w:rFonts w:cs="Arial"/>
          <w:szCs w:val="24"/>
        </w:rPr>
        <w:t>The d</w:t>
      </w:r>
      <w:r w:rsidR="00E7771E" w:rsidRPr="00EA6639">
        <w:rPr>
          <w:rFonts w:cs="Arial"/>
          <w:szCs w:val="24"/>
        </w:rPr>
        <w:t xml:space="preserve">ata supplied was as accurate as possible at the </w:t>
      </w:r>
      <w:r w:rsidRPr="00EA6639">
        <w:rPr>
          <w:rFonts w:cs="Arial"/>
          <w:szCs w:val="24"/>
        </w:rPr>
        <w:t>time of compilation of this asset management plan.</w:t>
      </w:r>
    </w:p>
    <w:p w14:paraId="0364FFA3" w14:textId="77777777" w:rsidR="00E72517" w:rsidRPr="00EA6639" w:rsidRDefault="00E72517" w:rsidP="00375695">
      <w:pPr>
        <w:pStyle w:val="BodyText"/>
        <w:numPr>
          <w:ilvl w:val="0"/>
          <w:numId w:val="1"/>
        </w:numPr>
        <w:spacing w:after="120"/>
        <w:ind w:left="714" w:right="375" w:hanging="357"/>
        <w:rPr>
          <w:rFonts w:cs="Arial"/>
          <w:szCs w:val="24"/>
        </w:rPr>
      </w:pPr>
      <w:r w:rsidRPr="00EA6639">
        <w:rPr>
          <w:rFonts w:cs="Arial"/>
          <w:szCs w:val="24"/>
        </w:rPr>
        <w:t>The breakdown of the</w:t>
      </w:r>
      <w:r w:rsidR="00E64F90">
        <w:rPr>
          <w:rFonts w:cs="Arial"/>
          <w:szCs w:val="24"/>
        </w:rPr>
        <w:t xml:space="preserve"> </w:t>
      </w:r>
      <w:r w:rsidR="004973F2">
        <w:rPr>
          <w:rFonts w:cs="Arial"/>
          <w:szCs w:val="24"/>
        </w:rPr>
        <w:t xml:space="preserve">actual </w:t>
      </w:r>
      <w:r w:rsidR="004973F2" w:rsidRPr="00EA6639">
        <w:rPr>
          <w:rFonts w:cs="Arial"/>
          <w:szCs w:val="24"/>
        </w:rPr>
        <w:t>reactive</w:t>
      </w:r>
      <w:r w:rsidRPr="00EA6639">
        <w:rPr>
          <w:rFonts w:cs="Arial"/>
          <w:szCs w:val="24"/>
        </w:rPr>
        <w:t>, planned and operational expenditure is considered accurate.</w:t>
      </w:r>
    </w:p>
    <w:p w14:paraId="54AFB0F5" w14:textId="77777777" w:rsidR="007B772B" w:rsidRPr="00EA6639" w:rsidRDefault="007B772B" w:rsidP="00375695">
      <w:pPr>
        <w:pStyle w:val="BodyText"/>
        <w:ind w:right="375"/>
        <w:rPr>
          <w:rFonts w:cs="Arial"/>
          <w:szCs w:val="24"/>
        </w:rPr>
      </w:pPr>
    </w:p>
    <w:p w14:paraId="73248F4D" w14:textId="56D78934" w:rsidR="000F68E3" w:rsidRPr="006F08FA" w:rsidRDefault="009374DA" w:rsidP="00F91A3A">
      <w:pPr>
        <w:pStyle w:val="Heading1"/>
        <w:rPr>
          <w:color w:val="0070C0"/>
        </w:rPr>
      </w:pPr>
      <w:r w:rsidRPr="00EA6639">
        <w:br w:type="page"/>
      </w:r>
      <w:bookmarkStart w:id="54" w:name="_Toc56419089"/>
      <w:r w:rsidR="000F68E3" w:rsidRPr="006F08FA">
        <w:rPr>
          <w:color w:val="0070C0"/>
        </w:rPr>
        <w:lastRenderedPageBreak/>
        <w:t>7.</w:t>
      </w:r>
      <w:r w:rsidR="000F68E3" w:rsidRPr="006F08FA">
        <w:rPr>
          <w:color w:val="0070C0"/>
        </w:rPr>
        <w:tab/>
      </w:r>
      <w:r w:rsidR="006F08FA" w:rsidRPr="006F08FA">
        <w:rPr>
          <w:color w:val="0070C0"/>
        </w:rPr>
        <w:t>Asset Management Practices</w:t>
      </w:r>
      <w:bookmarkEnd w:id="54"/>
    </w:p>
    <w:p w14:paraId="5C9A772E" w14:textId="77777777" w:rsidR="000F68E3" w:rsidRPr="00EA6639" w:rsidRDefault="000F68E3" w:rsidP="00140CAE">
      <w:pPr>
        <w:pStyle w:val="Heading2"/>
      </w:pPr>
      <w:bookmarkStart w:id="55" w:name="_Toc56419090"/>
      <w:r w:rsidRPr="00EA6639">
        <w:t>7.1</w:t>
      </w:r>
      <w:r w:rsidRPr="00EA6639">
        <w:tab/>
        <w:t>Accounting/Financial Systems</w:t>
      </w:r>
      <w:bookmarkEnd w:id="55"/>
    </w:p>
    <w:p w14:paraId="2CDB0371" w14:textId="77777777" w:rsidR="000F68E3" w:rsidRPr="006F08FA" w:rsidRDefault="00CD74E6" w:rsidP="00E8285B">
      <w:pPr>
        <w:pStyle w:val="Heading3"/>
        <w:rPr>
          <w:color w:val="auto"/>
        </w:rPr>
      </w:pPr>
      <w:bookmarkStart w:id="56" w:name="_Toc56419091"/>
      <w:r>
        <w:tab/>
      </w:r>
      <w:r w:rsidR="000F68E3" w:rsidRPr="006F08FA">
        <w:rPr>
          <w:color w:val="0070C0"/>
        </w:rPr>
        <w:t>7.1.1 Summary of Accounting &amp; Financial Systems</w:t>
      </w:r>
      <w:bookmarkEnd w:id="56"/>
    </w:p>
    <w:p w14:paraId="691FD6D2" w14:textId="77777777" w:rsidR="004E458A" w:rsidRPr="006F08FA" w:rsidRDefault="004E458A" w:rsidP="008B5334">
      <w:r w:rsidRPr="006F08FA">
        <w:t>Technology One Financials version 11.09.1</w:t>
      </w:r>
      <w:r w:rsidR="00056061" w:rsidRPr="006F08FA">
        <w:t>9</w:t>
      </w:r>
      <w:r w:rsidR="008E31AE" w:rsidRPr="006F08FA">
        <w:t>.011</w:t>
      </w:r>
    </w:p>
    <w:p w14:paraId="05812F27" w14:textId="77777777" w:rsidR="000F68E3" w:rsidRPr="006F08FA" w:rsidRDefault="00CD74E6" w:rsidP="00E8285B">
      <w:pPr>
        <w:pStyle w:val="Heading3"/>
        <w:rPr>
          <w:color w:val="0070C0"/>
        </w:rPr>
      </w:pPr>
      <w:bookmarkStart w:id="57" w:name="_Toc56419092"/>
      <w:r w:rsidRPr="006F08FA">
        <w:rPr>
          <w:color w:val="0070C0"/>
        </w:rPr>
        <w:tab/>
      </w:r>
      <w:r w:rsidR="000F68E3" w:rsidRPr="006F08FA">
        <w:rPr>
          <w:color w:val="0070C0"/>
        </w:rPr>
        <w:t>7.1.2 Accountabilities and Responsibilities for Financial System</w:t>
      </w:r>
      <w:bookmarkEnd w:id="57"/>
    </w:p>
    <w:p w14:paraId="47FA9E1E" w14:textId="77777777" w:rsidR="000F68E3" w:rsidRPr="006F08FA" w:rsidRDefault="000F68E3" w:rsidP="008B5334">
      <w:r w:rsidRPr="006F08FA">
        <w:t>Financial Services - for the accounts and costing methodologies</w:t>
      </w:r>
    </w:p>
    <w:p w14:paraId="7490D284" w14:textId="77777777" w:rsidR="000F68E3" w:rsidRPr="006F08FA" w:rsidRDefault="00CD74E6" w:rsidP="00E8285B">
      <w:pPr>
        <w:pStyle w:val="Heading3"/>
        <w:rPr>
          <w:color w:val="0070C0"/>
        </w:rPr>
      </w:pPr>
      <w:bookmarkStart w:id="58" w:name="_Toc56419093"/>
      <w:r w:rsidRPr="006F08FA">
        <w:rPr>
          <w:color w:val="0070C0"/>
        </w:rPr>
        <w:tab/>
      </w:r>
      <w:r w:rsidR="000F68E3" w:rsidRPr="006F08FA">
        <w:rPr>
          <w:color w:val="0070C0"/>
        </w:rPr>
        <w:t>7.1.3 Accounting Standards / Regulations / Guidelines</w:t>
      </w:r>
      <w:bookmarkEnd w:id="58"/>
    </w:p>
    <w:p w14:paraId="72E90830" w14:textId="77777777" w:rsidR="00687988" w:rsidRPr="006F08FA" w:rsidRDefault="00687988" w:rsidP="00A06614">
      <w:pPr>
        <w:pStyle w:val="BodyText"/>
        <w:numPr>
          <w:ilvl w:val="0"/>
          <w:numId w:val="26"/>
        </w:numPr>
        <w:spacing w:after="120"/>
        <w:rPr>
          <w:szCs w:val="24"/>
        </w:rPr>
      </w:pPr>
      <w:r w:rsidRPr="006F08FA">
        <w:rPr>
          <w:szCs w:val="24"/>
        </w:rPr>
        <w:t xml:space="preserve">Australian Accounting Standards including: </w:t>
      </w:r>
    </w:p>
    <w:p w14:paraId="70EC0B8D" w14:textId="77777777" w:rsidR="00687988" w:rsidRPr="006F08FA" w:rsidRDefault="00687988" w:rsidP="00A06614">
      <w:pPr>
        <w:pStyle w:val="BodyText"/>
        <w:numPr>
          <w:ilvl w:val="0"/>
          <w:numId w:val="16"/>
        </w:numPr>
        <w:spacing w:after="120"/>
        <w:rPr>
          <w:szCs w:val="24"/>
        </w:rPr>
      </w:pPr>
      <w:r w:rsidRPr="006F08FA">
        <w:rPr>
          <w:szCs w:val="24"/>
        </w:rPr>
        <w:t xml:space="preserve">AASB116 - Property, Plant and Equipment </w:t>
      </w:r>
    </w:p>
    <w:p w14:paraId="2A8412A4" w14:textId="77777777" w:rsidR="00687988" w:rsidRPr="006F08FA" w:rsidRDefault="00687988" w:rsidP="00A06614">
      <w:pPr>
        <w:pStyle w:val="BodyText"/>
        <w:numPr>
          <w:ilvl w:val="0"/>
          <w:numId w:val="16"/>
        </w:numPr>
        <w:spacing w:after="120"/>
        <w:rPr>
          <w:szCs w:val="24"/>
        </w:rPr>
      </w:pPr>
      <w:r w:rsidRPr="006F08FA">
        <w:rPr>
          <w:szCs w:val="24"/>
        </w:rPr>
        <w:t>AASB13 Fair Value Measurement</w:t>
      </w:r>
    </w:p>
    <w:p w14:paraId="27CBDF24" w14:textId="77777777" w:rsidR="00687988" w:rsidRPr="006F08FA" w:rsidRDefault="00687988" w:rsidP="00A06614">
      <w:pPr>
        <w:pStyle w:val="BodyText"/>
        <w:numPr>
          <w:ilvl w:val="0"/>
          <w:numId w:val="16"/>
        </w:numPr>
        <w:spacing w:after="120"/>
        <w:rPr>
          <w:szCs w:val="24"/>
        </w:rPr>
      </w:pPr>
      <w:r w:rsidRPr="006F08FA">
        <w:rPr>
          <w:szCs w:val="24"/>
        </w:rPr>
        <w:t>AASB136 - Impairment of Assets</w:t>
      </w:r>
    </w:p>
    <w:p w14:paraId="533C3F72" w14:textId="77777777" w:rsidR="00687988" w:rsidRPr="006F08FA" w:rsidRDefault="00687988" w:rsidP="00A06614">
      <w:pPr>
        <w:pStyle w:val="BodyText"/>
        <w:numPr>
          <w:ilvl w:val="0"/>
          <w:numId w:val="16"/>
        </w:numPr>
        <w:spacing w:after="120"/>
        <w:rPr>
          <w:szCs w:val="24"/>
        </w:rPr>
      </w:pPr>
      <w:r w:rsidRPr="006F08FA">
        <w:rPr>
          <w:szCs w:val="24"/>
        </w:rPr>
        <w:t>AASB 140 Investment Property</w:t>
      </w:r>
    </w:p>
    <w:p w14:paraId="495ACA4F" w14:textId="77777777" w:rsidR="00687988" w:rsidRPr="006F08FA" w:rsidRDefault="00687988" w:rsidP="00A06614">
      <w:pPr>
        <w:pStyle w:val="BodyText"/>
        <w:numPr>
          <w:ilvl w:val="0"/>
          <w:numId w:val="16"/>
        </w:numPr>
        <w:spacing w:after="120"/>
        <w:rPr>
          <w:szCs w:val="24"/>
        </w:rPr>
      </w:pPr>
      <w:r w:rsidRPr="006F08FA">
        <w:rPr>
          <w:szCs w:val="24"/>
        </w:rPr>
        <w:t xml:space="preserve">AASB 5 Non-current Assets Held for Sale and Discontinued Operations </w:t>
      </w:r>
    </w:p>
    <w:p w14:paraId="3B1026FF" w14:textId="77777777" w:rsidR="00687988" w:rsidRPr="006F08FA" w:rsidRDefault="00687988" w:rsidP="00A06614">
      <w:pPr>
        <w:pStyle w:val="BodyText"/>
        <w:numPr>
          <w:ilvl w:val="0"/>
          <w:numId w:val="26"/>
        </w:numPr>
        <w:spacing w:after="120"/>
        <w:rPr>
          <w:szCs w:val="24"/>
        </w:rPr>
      </w:pPr>
      <w:r w:rsidRPr="006F08FA">
        <w:rPr>
          <w:szCs w:val="24"/>
        </w:rPr>
        <w:t>Local Government Act 1995</w:t>
      </w:r>
    </w:p>
    <w:p w14:paraId="75B4C67F" w14:textId="77777777" w:rsidR="00687988" w:rsidRPr="006F08FA" w:rsidRDefault="00687988" w:rsidP="00A06614">
      <w:pPr>
        <w:pStyle w:val="BodyText"/>
        <w:numPr>
          <w:ilvl w:val="0"/>
          <w:numId w:val="26"/>
        </w:numPr>
        <w:spacing w:after="120"/>
        <w:rPr>
          <w:szCs w:val="24"/>
        </w:rPr>
      </w:pPr>
      <w:r w:rsidRPr="006F08FA">
        <w:rPr>
          <w:szCs w:val="24"/>
        </w:rPr>
        <w:t>Local Government (Financial Management) Regulations 1996</w:t>
      </w:r>
    </w:p>
    <w:p w14:paraId="332FE961" w14:textId="77777777" w:rsidR="00E963BB" w:rsidRPr="006F08FA" w:rsidRDefault="00687988" w:rsidP="00A06614">
      <w:pPr>
        <w:pStyle w:val="BodyText"/>
        <w:numPr>
          <w:ilvl w:val="0"/>
          <w:numId w:val="26"/>
        </w:numPr>
        <w:spacing w:after="120"/>
        <w:rPr>
          <w:szCs w:val="24"/>
        </w:rPr>
      </w:pPr>
      <w:r w:rsidRPr="006F08FA">
        <w:rPr>
          <w:szCs w:val="24"/>
        </w:rPr>
        <w:t>Local Government (Functions &amp; General) Regulations 1996</w:t>
      </w:r>
    </w:p>
    <w:p w14:paraId="5018EFCD" w14:textId="77777777" w:rsidR="000F68E3" w:rsidRPr="006F08FA" w:rsidRDefault="009211E6" w:rsidP="00140CAE">
      <w:pPr>
        <w:pStyle w:val="Heading2"/>
      </w:pPr>
      <w:bookmarkStart w:id="59" w:name="_Toc56419094"/>
      <w:r w:rsidRPr="006F08FA">
        <w:t>7.2</w:t>
      </w:r>
      <w:r w:rsidRPr="006F08FA">
        <w:tab/>
      </w:r>
      <w:r w:rsidR="000F68E3" w:rsidRPr="006F08FA">
        <w:t>Asset Management Systems</w:t>
      </w:r>
      <w:r w:rsidR="00A172BD" w:rsidRPr="006F08FA">
        <w:t xml:space="preserve"> (EAM)</w:t>
      </w:r>
      <w:bookmarkEnd w:id="59"/>
    </w:p>
    <w:p w14:paraId="67B462D6" w14:textId="77777777" w:rsidR="000F68E3" w:rsidRPr="006F08FA" w:rsidRDefault="00CD74E6" w:rsidP="00E8285B">
      <w:pPr>
        <w:pStyle w:val="Heading3"/>
        <w:rPr>
          <w:color w:val="0070C0"/>
        </w:rPr>
      </w:pPr>
      <w:bookmarkStart w:id="60" w:name="_Toc56419095"/>
      <w:r w:rsidRPr="006F08FA">
        <w:rPr>
          <w:color w:val="0070C0"/>
        </w:rPr>
        <w:tab/>
      </w:r>
      <w:r w:rsidR="000F68E3" w:rsidRPr="006F08FA">
        <w:rPr>
          <w:color w:val="0070C0"/>
        </w:rPr>
        <w:t>7.2.1 Summary of Asset Management System</w:t>
      </w:r>
      <w:bookmarkEnd w:id="60"/>
    </w:p>
    <w:p w14:paraId="0E40A401" w14:textId="77777777" w:rsidR="000B042D" w:rsidRPr="006F08FA" w:rsidRDefault="000B042D" w:rsidP="008B5334">
      <w:r w:rsidRPr="006F08FA">
        <w:t>Technology One Enterprise Asset Management version 11.09.1</w:t>
      </w:r>
      <w:r w:rsidR="00056061" w:rsidRPr="006F08FA">
        <w:t>9</w:t>
      </w:r>
      <w:r w:rsidRPr="006F08FA">
        <w:t>.0</w:t>
      </w:r>
      <w:r w:rsidR="008E31AE" w:rsidRPr="006F08FA">
        <w:t>11</w:t>
      </w:r>
    </w:p>
    <w:p w14:paraId="60E0824B" w14:textId="77777777" w:rsidR="000B042D" w:rsidRPr="006F08FA" w:rsidRDefault="000B042D" w:rsidP="008B5334">
      <w:r w:rsidRPr="006F08FA">
        <w:t xml:space="preserve">Technology One </w:t>
      </w:r>
      <w:proofErr w:type="spellStart"/>
      <w:r w:rsidRPr="006F08FA">
        <w:t>Intramaps</w:t>
      </w:r>
      <w:proofErr w:type="spellEnd"/>
      <w:r w:rsidRPr="006F08FA">
        <w:t xml:space="preserve"> 8</w:t>
      </w:r>
      <w:r w:rsidR="007323AC" w:rsidRPr="006F08FA">
        <w:t>.1</w:t>
      </w:r>
    </w:p>
    <w:p w14:paraId="1FF35F79" w14:textId="77777777" w:rsidR="000F68E3" w:rsidRPr="006F08FA" w:rsidRDefault="00CD74E6" w:rsidP="00E8285B">
      <w:pPr>
        <w:pStyle w:val="Heading3"/>
        <w:rPr>
          <w:color w:val="0070C0"/>
        </w:rPr>
      </w:pPr>
      <w:bookmarkStart w:id="61" w:name="_Toc56419096"/>
      <w:r w:rsidRPr="006F08FA">
        <w:rPr>
          <w:color w:val="auto"/>
        </w:rPr>
        <w:tab/>
      </w:r>
      <w:r w:rsidR="000F68E3" w:rsidRPr="006F08FA">
        <w:rPr>
          <w:color w:val="0070C0"/>
        </w:rPr>
        <w:t xml:space="preserve">7.2.2 </w:t>
      </w:r>
      <w:r w:rsidR="00B21C62" w:rsidRPr="006F08FA">
        <w:rPr>
          <w:color w:val="0070C0"/>
        </w:rPr>
        <w:t xml:space="preserve">Summary of how the Enterprise Asset Management System aligns to the </w:t>
      </w:r>
      <w:r w:rsidRPr="006F08FA">
        <w:rPr>
          <w:color w:val="0070C0"/>
        </w:rPr>
        <w:tab/>
      </w:r>
      <w:r w:rsidR="00B21C62" w:rsidRPr="006F08FA">
        <w:rPr>
          <w:color w:val="0070C0"/>
        </w:rPr>
        <w:t>Accounting / Financial system</w:t>
      </w:r>
      <w:bookmarkEnd w:id="61"/>
    </w:p>
    <w:p w14:paraId="56A271D5" w14:textId="77777777" w:rsidR="00B21C62" w:rsidRDefault="00B21C62" w:rsidP="00E8285B">
      <w:r w:rsidRPr="006F08FA">
        <w:t xml:space="preserve">The operational asset register within the Enterprise Asset Management system acts </w:t>
      </w:r>
      <w:r w:rsidRPr="00D967DC">
        <w:t xml:space="preserve">as the master </w:t>
      </w:r>
      <w:r>
        <w:t>asset dataset for</w:t>
      </w:r>
      <w:r w:rsidRPr="00D967DC">
        <w:t xml:space="preserve"> determining renewal projections, future refurbishment</w:t>
      </w:r>
      <w:r>
        <w:t>.</w:t>
      </w:r>
    </w:p>
    <w:p w14:paraId="30F5E028" w14:textId="77777777" w:rsidR="00B21C62" w:rsidRDefault="00B21C62" w:rsidP="00E8285B">
      <w:r w:rsidRPr="003C363F">
        <w:t>The financial registers values are updated yearly from the operational asset register as part of Assets Services revaluation procedures.</w:t>
      </w:r>
    </w:p>
    <w:p w14:paraId="63A527F6" w14:textId="77777777" w:rsidR="000F68E3" w:rsidRPr="006F08FA" w:rsidRDefault="00CD74E6" w:rsidP="00E8285B">
      <w:pPr>
        <w:pStyle w:val="Heading3"/>
        <w:rPr>
          <w:color w:val="0070C0"/>
        </w:rPr>
      </w:pPr>
      <w:bookmarkStart w:id="62" w:name="_Toc56419097"/>
      <w:r w:rsidRPr="006F08FA">
        <w:rPr>
          <w:color w:val="0070C0"/>
        </w:rPr>
        <w:lastRenderedPageBreak/>
        <w:tab/>
      </w:r>
      <w:r w:rsidR="000F68E3" w:rsidRPr="006F08FA">
        <w:rPr>
          <w:color w:val="0070C0"/>
        </w:rPr>
        <w:t>7.2.3 Accountabilities and</w:t>
      </w:r>
      <w:r w:rsidRPr="006F08FA">
        <w:rPr>
          <w:color w:val="0070C0"/>
        </w:rPr>
        <w:t xml:space="preserve"> Responsibilities for AM System </w:t>
      </w:r>
      <w:r w:rsidR="000F68E3" w:rsidRPr="006F08FA">
        <w:rPr>
          <w:color w:val="0070C0"/>
        </w:rPr>
        <w:t>(s)</w:t>
      </w:r>
      <w:bookmarkEnd w:id="62"/>
    </w:p>
    <w:p w14:paraId="51FAE281" w14:textId="77777777" w:rsidR="00AD59A8" w:rsidRPr="003C363F" w:rsidRDefault="00AD59A8" w:rsidP="008B5334">
      <w:r>
        <w:t xml:space="preserve">Project &amp; </w:t>
      </w:r>
      <w:r w:rsidRPr="003C363F">
        <w:t xml:space="preserve">Asset Services is accountable and responsible for the </w:t>
      </w:r>
      <w:r>
        <w:t>E</w:t>
      </w:r>
      <w:r w:rsidRPr="003C363F">
        <w:t>AM system, with other service areas assisting with the currency and maintenance of the data sets within the system databases.</w:t>
      </w:r>
    </w:p>
    <w:p w14:paraId="20D05C69" w14:textId="77777777" w:rsidR="00E52A45" w:rsidRPr="006F08FA" w:rsidRDefault="00E52A45" w:rsidP="00515612">
      <w:pPr>
        <w:pStyle w:val="Heading3"/>
        <w:ind w:firstLine="720"/>
        <w:rPr>
          <w:color w:val="0070C0"/>
        </w:rPr>
      </w:pPr>
      <w:bookmarkStart w:id="63" w:name="_Toc56419098"/>
      <w:r w:rsidRPr="006F08FA">
        <w:rPr>
          <w:color w:val="0070C0"/>
        </w:rPr>
        <w:t>7.2.4 Changes to the Asset Management Systems resulting from the AMP</w:t>
      </w:r>
      <w:bookmarkEnd w:id="63"/>
    </w:p>
    <w:p w14:paraId="7475F10C" w14:textId="77777777" w:rsidR="0091251C" w:rsidRPr="006D4226" w:rsidRDefault="0091251C" w:rsidP="008B5334">
      <w:r>
        <w:t>All proposed/agreed system changes will be documented in Section 8 Plan Improvement and Monitoring.</w:t>
      </w:r>
    </w:p>
    <w:p w14:paraId="6BAD4F72" w14:textId="77777777" w:rsidR="000F68E3" w:rsidRPr="00EA6639" w:rsidRDefault="000F68E3" w:rsidP="00140CAE">
      <w:pPr>
        <w:pStyle w:val="Heading2"/>
      </w:pPr>
      <w:bookmarkStart w:id="64" w:name="_Toc56419099"/>
      <w:r w:rsidRPr="00EA6639">
        <w:t>7.3</w:t>
      </w:r>
      <w:r w:rsidRPr="00EA6639">
        <w:tab/>
        <w:t>Information Flow Requirements and Processes</w:t>
      </w:r>
      <w:bookmarkEnd w:id="64"/>
    </w:p>
    <w:p w14:paraId="72CDAC71" w14:textId="77777777" w:rsidR="000F68E3" w:rsidRPr="00EA6639" w:rsidRDefault="000F68E3" w:rsidP="008B5334">
      <w:r w:rsidRPr="00EA6639">
        <w:t xml:space="preserve">The key information flows </w:t>
      </w:r>
      <w:r w:rsidRPr="00EA6639">
        <w:rPr>
          <w:i/>
        </w:rPr>
        <w:t>into</w:t>
      </w:r>
      <w:r w:rsidRPr="00EA6639">
        <w:t xml:space="preserve"> this asset management plan are:</w:t>
      </w:r>
    </w:p>
    <w:p w14:paraId="575D57C5" w14:textId="77777777" w:rsidR="000F68E3" w:rsidRPr="00EA6639" w:rsidRDefault="000F68E3" w:rsidP="008B5334">
      <w:pPr>
        <w:pStyle w:val="ListParagraph"/>
        <w:numPr>
          <w:ilvl w:val="0"/>
          <w:numId w:val="41"/>
        </w:numPr>
      </w:pPr>
      <w:r w:rsidRPr="00EA6639">
        <w:t xml:space="preserve">The asset register data on size, age, </w:t>
      </w:r>
      <w:r w:rsidR="006D161C" w:rsidRPr="00EA6639">
        <w:t>condition, value and</w:t>
      </w:r>
      <w:r w:rsidRPr="00EA6639">
        <w:t xml:space="preserve"> remaining life of the </w:t>
      </w:r>
      <w:proofErr w:type="gramStart"/>
      <w:r w:rsidRPr="00EA6639">
        <w:t>network;</w:t>
      </w:r>
      <w:proofErr w:type="gramEnd"/>
    </w:p>
    <w:p w14:paraId="32FD0FFC" w14:textId="77777777" w:rsidR="000F68E3" w:rsidRPr="00EA6639" w:rsidRDefault="000F68E3" w:rsidP="008B5334">
      <w:pPr>
        <w:pStyle w:val="ListParagraph"/>
        <w:numPr>
          <w:ilvl w:val="0"/>
          <w:numId w:val="41"/>
        </w:numPr>
      </w:pPr>
      <w:r w:rsidRPr="00EA6639">
        <w:t>The unit rates for categories of work/</w:t>
      </w:r>
      <w:proofErr w:type="gramStart"/>
      <w:r w:rsidRPr="00EA6639">
        <w:t>material;</w:t>
      </w:r>
      <w:proofErr w:type="gramEnd"/>
    </w:p>
    <w:p w14:paraId="315B1435" w14:textId="77777777" w:rsidR="000F68E3" w:rsidRPr="00EA6639" w:rsidRDefault="000F68E3" w:rsidP="008B5334">
      <w:pPr>
        <w:pStyle w:val="ListParagraph"/>
        <w:numPr>
          <w:ilvl w:val="0"/>
          <w:numId w:val="41"/>
        </w:numPr>
      </w:pPr>
      <w:r w:rsidRPr="00EA6639">
        <w:t xml:space="preserve">The adopted service </w:t>
      </w:r>
      <w:proofErr w:type="gramStart"/>
      <w:r w:rsidRPr="00EA6639">
        <w:t>levels;</w:t>
      </w:r>
      <w:proofErr w:type="gramEnd"/>
    </w:p>
    <w:p w14:paraId="0E23110B" w14:textId="77777777" w:rsidR="000F68E3" w:rsidRPr="00EA6639" w:rsidRDefault="000F68E3" w:rsidP="008B5334">
      <w:pPr>
        <w:pStyle w:val="ListParagraph"/>
        <w:numPr>
          <w:ilvl w:val="0"/>
          <w:numId w:val="41"/>
        </w:numPr>
      </w:pPr>
      <w:r w:rsidRPr="00EA6639">
        <w:t xml:space="preserve">Projections of various factors affecting future demand for </w:t>
      </w:r>
      <w:proofErr w:type="gramStart"/>
      <w:r w:rsidRPr="00EA6639">
        <w:t>services;</w:t>
      </w:r>
      <w:proofErr w:type="gramEnd"/>
    </w:p>
    <w:p w14:paraId="72519A06" w14:textId="77777777" w:rsidR="000F68E3" w:rsidRPr="00EA6639" w:rsidRDefault="000F68E3" w:rsidP="008B5334">
      <w:pPr>
        <w:pStyle w:val="ListParagraph"/>
        <w:numPr>
          <w:ilvl w:val="0"/>
          <w:numId w:val="41"/>
        </w:numPr>
      </w:pPr>
      <w:r w:rsidRPr="00EA6639">
        <w:t xml:space="preserve">Correlations between maintenance and renewal, including decay </w:t>
      </w:r>
      <w:proofErr w:type="gramStart"/>
      <w:r w:rsidRPr="00EA6639">
        <w:t>models;</w:t>
      </w:r>
      <w:proofErr w:type="gramEnd"/>
    </w:p>
    <w:p w14:paraId="3F8EDFE0" w14:textId="77777777" w:rsidR="000F68E3" w:rsidRPr="00EA6639" w:rsidRDefault="000F68E3" w:rsidP="008B5334">
      <w:pPr>
        <w:pStyle w:val="ListParagraph"/>
        <w:numPr>
          <w:ilvl w:val="0"/>
          <w:numId w:val="41"/>
        </w:numPr>
      </w:pPr>
      <w:r w:rsidRPr="00EA6639">
        <w:t>Data on new assets acquired by council.</w:t>
      </w:r>
    </w:p>
    <w:p w14:paraId="672F6C6A" w14:textId="77777777" w:rsidR="000F68E3" w:rsidRPr="00EA6639" w:rsidRDefault="000F68E3" w:rsidP="008B5334">
      <w:r w:rsidRPr="00EA6639">
        <w:t xml:space="preserve">The key information flows </w:t>
      </w:r>
      <w:r w:rsidRPr="00EA6639">
        <w:rPr>
          <w:i/>
        </w:rPr>
        <w:t>from</w:t>
      </w:r>
      <w:r w:rsidRPr="00EA6639">
        <w:t xml:space="preserve"> this asset management plan are:</w:t>
      </w:r>
    </w:p>
    <w:p w14:paraId="215F08C2" w14:textId="77777777" w:rsidR="000F68E3" w:rsidRPr="00EA6639" w:rsidRDefault="000F68E3" w:rsidP="008B5334">
      <w:pPr>
        <w:pStyle w:val="ListParagraph"/>
        <w:numPr>
          <w:ilvl w:val="0"/>
          <w:numId w:val="42"/>
        </w:numPr>
      </w:pPr>
      <w:r w:rsidRPr="00EA6639">
        <w:t xml:space="preserve">The assumed Works Program and </w:t>
      </w:r>
      <w:proofErr w:type="gramStart"/>
      <w:r w:rsidRPr="00EA6639">
        <w:t>trends;</w:t>
      </w:r>
      <w:proofErr w:type="gramEnd"/>
    </w:p>
    <w:p w14:paraId="55DFC3AE" w14:textId="77777777" w:rsidR="000F68E3" w:rsidRPr="00EA6639" w:rsidRDefault="000F68E3" w:rsidP="008B5334">
      <w:pPr>
        <w:pStyle w:val="ListParagraph"/>
        <w:numPr>
          <w:ilvl w:val="0"/>
          <w:numId w:val="42"/>
        </w:numPr>
      </w:pPr>
      <w:r w:rsidRPr="00EA6639">
        <w:t xml:space="preserve">The resulting budget, valuation and depreciation </w:t>
      </w:r>
      <w:proofErr w:type="gramStart"/>
      <w:r w:rsidRPr="00EA6639">
        <w:t>projections;</w:t>
      </w:r>
      <w:proofErr w:type="gramEnd"/>
    </w:p>
    <w:p w14:paraId="0462D5D0" w14:textId="77777777" w:rsidR="000F68E3" w:rsidRPr="00EA6639" w:rsidRDefault="000F68E3" w:rsidP="008B5334">
      <w:pPr>
        <w:pStyle w:val="ListParagraph"/>
        <w:numPr>
          <w:ilvl w:val="0"/>
          <w:numId w:val="42"/>
        </w:numPr>
      </w:pPr>
      <w:r w:rsidRPr="00EA6639">
        <w:t>The useful life analysis.</w:t>
      </w:r>
    </w:p>
    <w:p w14:paraId="5EB139BE" w14:textId="77777777" w:rsidR="000F68E3" w:rsidRPr="00EA6639" w:rsidRDefault="000F68E3" w:rsidP="008B5334">
      <w:r w:rsidRPr="00EA6639">
        <w:t xml:space="preserve">These will impact the Long Term Financial Plan, </w:t>
      </w:r>
      <w:r w:rsidR="00253337">
        <w:t>Strategic Community Plan</w:t>
      </w:r>
      <w:r w:rsidRPr="00EA6639">
        <w:t>, annual budget and departmental business plans and budgets.</w:t>
      </w:r>
    </w:p>
    <w:p w14:paraId="50011C2B" w14:textId="77777777" w:rsidR="000F68E3" w:rsidRPr="00EA6639" w:rsidRDefault="000F68E3" w:rsidP="00140CAE">
      <w:pPr>
        <w:pStyle w:val="Heading2"/>
      </w:pPr>
      <w:bookmarkStart w:id="65" w:name="_Toc56419100"/>
      <w:r w:rsidRPr="00EA6639">
        <w:t>7.4</w:t>
      </w:r>
      <w:r w:rsidRPr="00EA6639">
        <w:tab/>
        <w:t>Standards and Guidelines</w:t>
      </w:r>
      <w:bookmarkEnd w:id="65"/>
    </w:p>
    <w:p w14:paraId="55A277E9" w14:textId="77777777" w:rsidR="000F68E3" w:rsidRPr="00EA6639" w:rsidRDefault="000F68E3" w:rsidP="00CF1773">
      <w:pPr>
        <w:rPr>
          <w:lang w:val="en-US"/>
        </w:rPr>
      </w:pPr>
      <w:r w:rsidRPr="00EA6639">
        <w:rPr>
          <w:lang w:val="en-US"/>
        </w:rPr>
        <w:t>Asset Manageme</w:t>
      </w:r>
      <w:r w:rsidR="00E84633">
        <w:rPr>
          <w:lang w:val="en-US"/>
        </w:rPr>
        <w:t>nt Policy Statement (SC 39) 201</w:t>
      </w:r>
      <w:r w:rsidR="0091251C">
        <w:rPr>
          <w:lang w:val="en-US"/>
        </w:rPr>
        <w:t>7</w:t>
      </w:r>
    </w:p>
    <w:p w14:paraId="54DEFAC3" w14:textId="77777777" w:rsidR="000F68E3" w:rsidRPr="00EA6639" w:rsidRDefault="000F68E3" w:rsidP="00AD53DA">
      <w:pPr>
        <w:pStyle w:val="BodyText"/>
        <w:ind w:right="375"/>
        <w:rPr>
          <w:rFonts w:cs="Arial"/>
          <w:color w:val="0000FF"/>
          <w:szCs w:val="24"/>
        </w:rPr>
      </w:pPr>
    </w:p>
    <w:p w14:paraId="0946F1DF" w14:textId="06F1BFE7" w:rsidR="000F68E3" w:rsidRPr="006F08FA" w:rsidRDefault="000F68E3" w:rsidP="00F91A3A">
      <w:pPr>
        <w:pStyle w:val="Heading1"/>
        <w:rPr>
          <w:color w:val="0070C0"/>
        </w:rPr>
      </w:pPr>
      <w:r w:rsidRPr="00EA6639">
        <w:br w:type="page"/>
      </w:r>
      <w:bookmarkStart w:id="66" w:name="_Toc56419101"/>
      <w:r w:rsidR="006F08FA" w:rsidRPr="006F08FA">
        <w:rPr>
          <w:color w:val="0070C0"/>
        </w:rPr>
        <w:lastRenderedPageBreak/>
        <w:t>8.</w:t>
      </w:r>
      <w:r w:rsidR="006F08FA" w:rsidRPr="006F08FA">
        <w:rPr>
          <w:color w:val="0070C0"/>
        </w:rPr>
        <w:tab/>
        <w:t xml:space="preserve">Plan Improvement </w:t>
      </w:r>
      <w:proofErr w:type="gramStart"/>
      <w:r w:rsidR="006F08FA" w:rsidRPr="006F08FA">
        <w:rPr>
          <w:color w:val="0070C0"/>
        </w:rPr>
        <w:t>And</w:t>
      </w:r>
      <w:proofErr w:type="gramEnd"/>
      <w:r w:rsidR="006F08FA" w:rsidRPr="006F08FA">
        <w:rPr>
          <w:color w:val="0070C0"/>
        </w:rPr>
        <w:t xml:space="preserve"> Monitoring</w:t>
      </w:r>
      <w:bookmarkEnd w:id="66"/>
    </w:p>
    <w:p w14:paraId="01B9A220" w14:textId="77777777" w:rsidR="000F68E3" w:rsidRPr="006F08FA" w:rsidRDefault="000F68E3" w:rsidP="00140CAE">
      <w:pPr>
        <w:pStyle w:val="Heading2"/>
      </w:pPr>
      <w:bookmarkStart w:id="67" w:name="_Toc56419102"/>
      <w:r w:rsidRPr="006F08FA">
        <w:t>8.1</w:t>
      </w:r>
      <w:r w:rsidRPr="006F08FA">
        <w:tab/>
        <w:t>Performance Measures</w:t>
      </w:r>
      <w:bookmarkEnd w:id="67"/>
    </w:p>
    <w:p w14:paraId="498D5C3F" w14:textId="77777777" w:rsidR="00F00916" w:rsidRPr="008437A9" w:rsidRDefault="00F00916" w:rsidP="003B24CE">
      <w:r w:rsidRPr="008437A9">
        <w:t>The effectiveness of the asset management plan can be measured in the following ways:</w:t>
      </w:r>
    </w:p>
    <w:p w14:paraId="4F18C6B0" w14:textId="77777777" w:rsidR="00F00916" w:rsidRPr="008437A9" w:rsidRDefault="00F00916" w:rsidP="00A06614">
      <w:pPr>
        <w:pStyle w:val="ListParagraph"/>
        <w:numPr>
          <w:ilvl w:val="0"/>
          <w:numId w:val="30"/>
        </w:numPr>
      </w:pPr>
      <w:r w:rsidRPr="008437A9">
        <w:t>The degree to which the required cash flows identified in this asset management plan are incorporated into council’s Long Term Financial Plan and Strategic Management Plan</w:t>
      </w:r>
      <w:r>
        <w:t>,</w:t>
      </w:r>
    </w:p>
    <w:p w14:paraId="048B2AB4" w14:textId="77777777" w:rsidR="00F00916" w:rsidRPr="008437A9" w:rsidRDefault="00F00916" w:rsidP="00A06614">
      <w:pPr>
        <w:pStyle w:val="ListParagraph"/>
        <w:numPr>
          <w:ilvl w:val="0"/>
          <w:numId w:val="30"/>
        </w:numPr>
      </w:pPr>
      <w:r w:rsidRPr="008437A9">
        <w:t xml:space="preserve">The degree to which 1-5 year detailed works programs, budgets, business plans and organisational structures </w:t>
      </w:r>
      <w:proofErr w:type="gramStart"/>
      <w:r w:rsidRPr="008437A9">
        <w:t>take into account</w:t>
      </w:r>
      <w:proofErr w:type="gramEnd"/>
      <w:r w:rsidRPr="008437A9">
        <w:t xml:space="preserve"> the ‘global’ works program trends provided by the asset management plan</w:t>
      </w:r>
      <w:r>
        <w:t>, and</w:t>
      </w:r>
    </w:p>
    <w:p w14:paraId="69F1E9EB" w14:textId="77777777" w:rsidR="00F00916" w:rsidRPr="00F2523E" w:rsidRDefault="00F00916" w:rsidP="00A06614">
      <w:pPr>
        <w:pStyle w:val="ListParagraph"/>
        <w:numPr>
          <w:ilvl w:val="0"/>
          <w:numId w:val="30"/>
        </w:numPr>
      </w:pPr>
      <w:r w:rsidRPr="00F2523E">
        <w:t>The degree to which existing and projected service levels and consequences, risks and residual risks are incorporated into Council’s plans.</w:t>
      </w:r>
    </w:p>
    <w:p w14:paraId="00A7D4DC" w14:textId="77777777" w:rsidR="000F68E3" w:rsidRPr="00EA6639" w:rsidRDefault="000F68E3" w:rsidP="00140CAE">
      <w:pPr>
        <w:pStyle w:val="Heading2"/>
      </w:pPr>
      <w:bookmarkStart w:id="68" w:name="_Toc56419103"/>
      <w:r w:rsidRPr="00EA6639">
        <w:t>8.2</w:t>
      </w:r>
      <w:r w:rsidRPr="00EA6639">
        <w:tab/>
        <w:t xml:space="preserve">Improvement </w:t>
      </w:r>
      <w:r w:rsidR="00CD031A">
        <w:t>Strategy</w:t>
      </w:r>
      <w:bookmarkEnd w:id="68"/>
    </w:p>
    <w:p w14:paraId="419DB265" w14:textId="77777777" w:rsidR="00361562" w:rsidRPr="003029A3" w:rsidRDefault="00361562" w:rsidP="0064396C">
      <w:r w:rsidRPr="003029A3">
        <w:t xml:space="preserve">The improvements completed since </w:t>
      </w:r>
      <w:r>
        <w:t>previous</w:t>
      </w:r>
      <w:r w:rsidRPr="003029A3">
        <w:t xml:space="preserve"> </w:t>
      </w:r>
      <w:r w:rsidR="003472DA">
        <w:t>F</w:t>
      </w:r>
      <w:r w:rsidRPr="003029A3">
        <w:t>AMP are detailed in table 8.2.1</w:t>
      </w:r>
    </w:p>
    <w:p w14:paraId="59D1A88E" w14:textId="77777777" w:rsidR="000F68E3" w:rsidRPr="006F08FA" w:rsidRDefault="00532705" w:rsidP="00616E47">
      <w:pPr>
        <w:keepNext/>
        <w:rPr>
          <w:b/>
          <w:iCs/>
          <w:color w:val="0070C0"/>
          <w:szCs w:val="22"/>
        </w:rPr>
      </w:pPr>
      <w:r w:rsidRPr="006F08FA">
        <w:rPr>
          <w:b/>
          <w:iCs/>
          <w:color w:val="0070C0"/>
          <w:szCs w:val="22"/>
        </w:rPr>
        <w:t>Table 8.2</w:t>
      </w:r>
      <w:r w:rsidR="003D0629" w:rsidRPr="006F08FA">
        <w:rPr>
          <w:b/>
          <w:iCs/>
          <w:color w:val="0070C0"/>
          <w:szCs w:val="22"/>
        </w:rPr>
        <w:t>.1</w:t>
      </w:r>
      <w:r w:rsidRPr="006F08FA">
        <w:rPr>
          <w:b/>
          <w:iCs/>
          <w:color w:val="0070C0"/>
          <w:szCs w:val="22"/>
        </w:rPr>
        <w:tab/>
      </w:r>
      <w:r w:rsidR="0058543C" w:rsidRPr="006F08FA">
        <w:rPr>
          <w:b/>
          <w:iCs/>
          <w:color w:val="0070C0"/>
          <w:szCs w:val="22"/>
        </w:rPr>
        <w:t>Improvements c</w:t>
      </w:r>
      <w:r w:rsidR="003D0629" w:rsidRPr="006F08FA">
        <w:rPr>
          <w:b/>
          <w:iCs/>
          <w:color w:val="0070C0"/>
          <w:szCs w:val="22"/>
        </w:rPr>
        <w:t xml:space="preserve">ompleted </w:t>
      </w:r>
    </w:p>
    <w:tbl>
      <w:tblPr>
        <w:tblW w:w="9747" w:type="dxa"/>
        <w:tblLayout w:type="fixed"/>
        <w:tblLook w:val="01E0" w:firstRow="1" w:lastRow="1" w:firstColumn="1" w:lastColumn="1" w:noHBand="0" w:noVBand="0"/>
      </w:tblPr>
      <w:tblGrid>
        <w:gridCol w:w="1242"/>
        <w:gridCol w:w="1843"/>
        <w:gridCol w:w="2126"/>
        <w:gridCol w:w="2835"/>
        <w:gridCol w:w="1701"/>
      </w:tblGrid>
      <w:tr w:rsidR="00DA0622" w:rsidRPr="001F30EB" w14:paraId="6D910C61" w14:textId="77777777" w:rsidTr="00520FC9">
        <w:trPr>
          <w:cantSplit/>
          <w:trHeight w:val="756"/>
          <w:tblHeader/>
        </w:trPr>
        <w:tc>
          <w:tcPr>
            <w:tcW w:w="1242" w:type="dxa"/>
            <w:tcBorders>
              <w:top w:val="single" w:sz="8" w:space="0" w:color="auto"/>
              <w:left w:val="single" w:sz="8" w:space="0" w:color="auto"/>
              <w:bottom w:val="single" w:sz="18" w:space="0" w:color="auto"/>
              <w:right w:val="single" w:sz="24" w:space="0" w:color="FFFFFF" w:themeColor="background1"/>
            </w:tcBorders>
            <w:shd w:val="clear" w:color="auto" w:fill="4BACC6" w:themeFill="accent5"/>
            <w:vAlign w:val="center"/>
          </w:tcPr>
          <w:p w14:paraId="5B3C290D" w14:textId="77777777" w:rsidR="00DA0622" w:rsidRPr="001F30EB" w:rsidRDefault="00DA0622" w:rsidP="006A1785">
            <w:pPr>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Section</w:t>
            </w:r>
          </w:p>
        </w:tc>
        <w:tc>
          <w:tcPr>
            <w:tcW w:w="1843" w:type="dxa"/>
            <w:tcBorders>
              <w:top w:val="single" w:sz="8" w:space="0" w:color="auto"/>
              <w:left w:val="single" w:sz="24" w:space="0" w:color="FFFFFF" w:themeColor="background1"/>
              <w:bottom w:val="single" w:sz="18" w:space="0" w:color="auto"/>
              <w:right w:val="single" w:sz="8" w:space="0" w:color="FFFFFF" w:themeColor="background1"/>
            </w:tcBorders>
            <w:shd w:val="clear" w:color="auto" w:fill="4BACC6" w:themeFill="accent5"/>
            <w:vAlign w:val="center"/>
          </w:tcPr>
          <w:p w14:paraId="2DFFACEB" w14:textId="77777777" w:rsidR="00DA0622" w:rsidRPr="001F30EB" w:rsidRDefault="004254B4" w:rsidP="006A1785">
            <w:pPr>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Project</w:t>
            </w:r>
          </w:p>
        </w:tc>
        <w:tc>
          <w:tcPr>
            <w:tcW w:w="2126" w:type="dxa"/>
            <w:tcBorders>
              <w:top w:val="single" w:sz="8" w:space="0" w:color="auto"/>
              <w:left w:val="single" w:sz="8" w:space="0" w:color="FFFFFF" w:themeColor="background1"/>
              <w:bottom w:val="single" w:sz="18" w:space="0" w:color="auto"/>
              <w:right w:val="single" w:sz="8" w:space="0" w:color="FFFFFF" w:themeColor="background1"/>
            </w:tcBorders>
            <w:shd w:val="clear" w:color="auto" w:fill="4BACC6" w:themeFill="accent5"/>
            <w:vAlign w:val="center"/>
          </w:tcPr>
          <w:p w14:paraId="44997B01" w14:textId="77777777" w:rsidR="00DA0622" w:rsidRPr="001F30EB" w:rsidRDefault="00DA0622" w:rsidP="006A1785">
            <w:pPr>
              <w:spacing w:after="0"/>
              <w:ind w:right="33"/>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Responsibility</w:t>
            </w:r>
          </w:p>
        </w:tc>
        <w:tc>
          <w:tcPr>
            <w:tcW w:w="2835" w:type="dxa"/>
            <w:tcBorders>
              <w:top w:val="single" w:sz="8" w:space="0" w:color="auto"/>
              <w:left w:val="single" w:sz="8" w:space="0" w:color="FFFFFF" w:themeColor="background1"/>
              <w:bottom w:val="single" w:sz="18" w:space="0" w:color="auto"/>
              <w:right w:val="single" w:sz="8" w:space="0" w:color="FFFFFF" w:themeColor="background1"/>
            </w:tcBorders>
            <w:shd w:val="clear" w:color="auto" w:fill="4BACC6" w:themeFill="accent5"/>
            <w:vAlign w:val="center"/>
          </w:tcPr>
          <w:p w14:paraId="4F10A1B7" w14:textId="77777777" w:rsidR="00DA0622" w:rsidRPr="001F30EB" w:rsidRDefault="004254B4" w:rsidP="006A1785">
            <w:pPr>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Task</w:t>
            </w:r>
          </w:p>
        </w:tc>
        <w:tc>
          <w:tcPr>
            <w:tcW w:w="1701" w:type="dxa"/>
            <w:tcBorders>
              <w:top w:val="single" w:sz="8" w:space="0" w:color="auto"/>
              <w:left w:val="single" w:sz="8" w:space="0" w:color="FFFFFF" w:themeColor="background1"/>
              <w:bottom w:val="single" w:sz="18" w:space="0" w:color="auto"/>
              <w:right w:val="single" w:sz="8" w:space="0" w:color="auto"/>
            </w:tcBorders>
            <w:shd w:val="clear" w:color="auto" w:fill="4BACC6" w:themeFill="accent5"/>
            <w:vAlign w:val="center"/>
          </w:tcPr>
          <w:p w14:paraId="4C18C6D7" w14:textId="77777777" w:rsidR="00DA0622" w:rsidRPr="003D0629" w:rsidRDefault="003D0629" w:rsidP="006A1785">
            <w:pPr>
              <w:tabs>
                <w:tab w:val="left" w:pos="1593"/>
              </w:tabs>
              <w:spacing w:after="0"/>
              <w:jc w:val="center"/>
              <w:rPr>
                <w:rFonts w:ascii="Arial Narrow" w:eastAsiaTheme="majorEastAsia" w:hAnsi="Arial Narrow" w:cs="Arial"/>
                <w:bCs/>
                <w:iCs/>
                <w:color w:val="FFFFFF" w:themeColor="background1"/>
                <w:szCs w:val="24"/>
              </w:rPr>
            </w:pPr>
            <w:r w:rsidRPr="003D0629">
              <w:rPr>
                <w:rFonts w:ascii="Arial Narrow" w:eastAsiaTheme="majorEastAsia" w:hAnsi="Arial Narrow" w:cs="Arial"/>
                <w:bCs/>
                <w:iCs/>
                <w:color w:val="FFFFFF" w:themeColor="background1"/>
                <w:szCs w:val="24"/>
              </w:rPr>
              <w:t>Status</w:t>
            </w:r>
          </w:p>
        </w:tc>
      </w:tr>
      <w:tr w:rsidR="004254B4" w:rsidRPr="001F30EB" w14:paraId="039BD2DE" w14:textId="77777777" w:rsidTr="00520FC9">
        <w:trPr>
          <w:cantSplit/>
        </w:trPr>
        <w:tc>
          <w:tcPr>
            <w:tcW w:w="1242" w:type="dxa"/>
            <w:tcBorders>
              <w:top w:val="single" w:sz="18" w:space="0" w:color="auto"/>
              <w:left w:val="single" w:sz="8" w:space="0" w:color="auto"/>
              <w:bottom w:val="single" w:sz="8" w:space="0" w:color="FFFFFF" w:themeColor="background1"/>
              <w:right w:val="single" w:sz="24" w:space="0" w:color="FFFFFF" w:themeColor="background1"/>
            </w:tcBorders>
            <w:shd w:val="clear" w:color="auto" w:fill="4BACC6" w:themeFill="accent5"/>
          </w:tcPr>
          <w:p w14:paraId="7094E31D" w14:textId="77777777" w:rsidR="004254B4" w:rsidRPr="00F953F8" w:rsidRDefault="004254B4"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3.3</w:t>
            </w:r>
          </w:p>
        </w:tc>
        <w:tc>
          <w:tcPr>
            <w:tcW w:w="1843" w:type="dxa"/>
            <w:tcBorders>
              <w:top w:val="single" w:sz="18" w:space="0" w:color="auto"/>
              <w:left w:val="single" w:sz="24"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1AD9D5BC" w14:textId="77777777" w:rsidR="004254B4" w:rsidRPr="001F30EB" w:rsidRDefault="004254B4" w:rsidP="006A1785">
            <w:pPr>
              <w:spacing w:before="60" w:after="60"/>
              <w:jc w:val="left"/>
              <w:rPr>
                <w:rFonts w:ascii="Arial Narrow" w:hAnsi="Arial Narrow" w:cs="Arial"/>
                <w:szCs w:val="24"/>
              </w:rPr>
            </w:pPr>
            <w:r w:rsidRPr="001F30EB">
              <w:rPr>
                <w:rFonts w:ascii="Arial Narrow" w:hAnsi="Arial Narrow" w:cs="Arial"/>
                <w:szCs w:val="24"/>
              </w:rPr>
              <w:t>Monitoring performance measures against levels of service targets</w:t>
            </w:r>
          </w:p>
        </w:tc>
        <w:tc>
          <w:tcPr>
            <w:tcW w:w="2126" w:type="dxa"/>
            <w:tcBorders>
              <w:top w:val="single" w:sz="18"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31E94D10" w14:textId="77777777" w:rsidR="004254B4" w:rsidRPr="001F30EB" w:rsidRDefault="00070135">
            <w:pPr>
              <w:spacing w:before="60" w:after="60"/>
              <w:ind w:right="33"/>
              <w:jc w:val="center"/>
              <w:rPr>
                <w:rFonts w:ascii="Arial Narrow" w:hAnsi="Arial Narrow" w:cs="Arial"/>
                <w:szCs w:val="24"/>
              </w:rPr>
            </w:pPr>
            <w:r>
              <w:rPr>
                <w:rFonts w:ascii="Arial Narrow" w:hAnsi="Arial Narrow" w:cs="Arial"/>
                <w:szCs w:val="24"/>
              </w:rPr>
              <w:t xml:space="preserve">Project &amp; </w:t>
            </w:r>
            <w:r w:rsidR="004254B4" w:rsidRPr="001F30EB">
              <w:rPr>
                <w:rFonts w:ascii="Arial Narrow" w:hAnsi="Arial Narrow" w:cs="Arial"/>
                <w:szCs w:val="24"/>
              </w:rPr>
              <w:t>Asset Services</w:t>
            </w:r>
            <w:r>
              <w:rPr>
                <w:rFonts w:ascii="Arial Narrow" w:hAnsi="Arial Narrow" w:cs="Arial"/>
                <w:szCs w:val="24"/>
              </w:rPr>
              <w:t>,</w:t>
            </w:r>
            <w:r w:rsidR="004254B4" w:rsidRPr="001F30EB">
              <w:rPr>
                <w:rFonts w:ascii="Arial Narrow" w:hAnsi="Arial Narrow" w:cs="Arial"/>
                <w:szCs w:val="24"/>
              </w:rPr>
              <w:t xml:space="preserve"> Business Systems</w:t>
            </w:r>
          </w:p>
        </w:tc>
        <w:tc>
          <w:tcPr>
            <w:tcW w:w="2835" w:type="dxa"/>
            <w:tcBorders>
              <w:top w:val="single" w:sz="18"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5E3E2864" w14:textId="77777777" w:rsidR="004254B4" w:rsidRPr="001F30EB" w:rsidRDefault="004254B4" w:rsidP="00375695">
            <w:pPr>
              <w:pStyle w:val="ListParagraph"/>
              <w:numPr>
                <w:ilvl w:val="0"/>
                <w:numId w:val="4"/>
              </w:numPr>
              <w:spacing w:before="60" w:after="60"/>
              <w:ind w:left="283"/>
              <w:jc w:val="left"/>
              <w:rPr>
                <w:rFonts w:ascii="Arial Narrow" w:hAnsi="Arial Narrow" w:cs="Arial"/>
                <w:szCs w:val="24"/>
              </w:rPr>
            </w:pPr>
            <w:r w:rsidRPr="001F30EB">
              <w:rPr>
                <w:rFonts w:ascii="Arial Narrow" w:hAnsi="Arial Narrow" w:cs="Arial"/>
                <w:szCs w:val="24"/>
              </w:rPr>
              <w:t>Include more detailed questions, specific to levels of service, in the customer satisfaction survey</w:t>
            </w:r>
          </w:p>
          <w:p w14:paraId="11A06C68" w14:textId="77777777" w:rsidR="004254B4" w:rsidRPr="003D0629" w:rsidRDefault="004254B4" w:rsidP="00375695">
            <w:pPr>
              <w:pStyle w:val="ListParagraph"/>
              <w:numPr>
                <w:ilvl w:val="0"/>
                <w:numId w:val="4"/>
              </w:numPr>
              <w:spacing w:before="60" w:after="60"/>
              <w:ind w:left="283"/>
              <w:jc w:val="left"/>
              <w:rPr>
                <w:rFonts w:ascii="Arial Narrow" w:hAnsi="Arial Narrow" w:cs="Arial"/>
                <w:szCs w:val="24"/>
              </w:rPr>
            </w:pPr>
            <w:r w:rsidRPr="001F30EB">
              <w:rPr>
                <w:rFonts w:ascii="Arial Narrow" w:hAnsi="Arial Narrow" w:cs="Arial"/>
                <w:szCs w:val="24"/>
              </w:rPr>
              <w:t>Investigate customer request configuration</w:t>
            </w:r>
          </w:p>
        </w:tc>
        <w:tc>
          <w:tcPr>
            <w:tcW w:w="1701" w:type="dxa"/>
            <w:tcBorders>
              <w:top w:val="single" w:sz="18" w:space="0" w:color="auto"/>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526B90B8" w14:textId="77777777" w:rsidR="004254B4" w:rsidRPr="001F30EB" w:rsidRDefault="003D0629"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r w:rsidR="004254B4" w:rsidRPr="001F30EB" w14:paraId="5A3FD30E" w14:textId="77777777" w:rsidTr="004A7C4C">
        <w:trPr>
          <w:cantSplit/>
        </w:trPr>
        <w:tc>
          <w:tcPr>
            <w:tcW w:w="1242" w:type="dxa"/>
            <w:tcBorders>
              <w:top w:val="single" w:sz="8" w:space="0" w:color="FFFFFF" w:themeColor="background1"/>
              <w:left w:val="single" w:sz="8" w:space="0" w:color="auto"/>
              <w:bottom w:val="single" w:sz="8" w:space="0" w:color="FFFFFF" w:themeColor="background1"/>
              <w:right w:val="single" w:sz="24" w:space="0" w:color="FFFFFF" w:themeColor="background1"/>
            </w:tcBorders>
            <w:shd w:val="clear" w:color="auto" w:fill="4BACC6" w:themeFill="accent5"/>
          </w:tcPr>
          <w:p w14:paraId="0BF530F8" w14:textId="77777777" w:rsidR="004254B4" w:rsidRPr="00F953F8" w:rsidRDefault="004254B4"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4.4</w:t>
            </w:r>
          </w:p>
        </w:tc>
        <w:tc>
          <w:tcPr>
            <w:tcW w:w="1843"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586454E9" w14:textId="77777777" w:rsidR="004254B4" w:rsidRPr="001F30EB" w:rsidRDefault="004254B4" w:rsidP="006A1785">
            <w:pPr>
              <w:spacing w:before="60" w:after="60"/>
              <w:jc w:val="left"/>
              <w:rPr>
                <w:rFonts w:ascii="Arial Narrow" w:hAnsi="Arial Narrow" w:cs="Arial"/>
                <w:szCs w:val="24"/>
              </w:rPr>
            </w:pPr>
            <w:r w:rsidRPr="001F30EB">
              <w:rPr>
                <w:rFonts w:ascii="Arial Narrow" w:hAnsi="Arial Narrow" w:cs="Arial"/>
                <w:szCs w:val="24"/>
              </w:rPr>
              <w:t>Investigate improvements of recording donated assets and Council funded assets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1C1A5F0A" w14:textId="77777777" w:rsidR="004254B4" w:rsidRPr="001F30EB" w:rsidRDefault="0097473D" w:rsidP="006A1785">
            <w:pPr>
              <w:spacing w:before="60" w:after="60"/>
              <w:ind w:right="33"/>
              <w:jc w:val="center"/>
              <w:rPr>
                <w:rFonts w:ascii="Arial Narrow" w:hAnsi="Arial Narrow" w:cs="Arial"/>
                <w:szCs w:val="24"/>
              </w:rPr>
            </w:pPr>
            <w:r>
              <w:rPr>
                <w:rFonts w:ascii="Arial Narrow" w:hAnsi="Arial Narrow" w:cs="Arial"/>
                <w:szCs w:val="24"/>
              </w:rPr>
              <w:t xml:space="preserve">Project &amp; </w:t>
            </w:r>
            <w:r w:rsidR="004254B4" w:rsidRPr="001F30EB">
              <w:rPr>
                <w:rFonts w:ascii="Arial Narrow" w:hAnsi="Arial Narrow" w:cs="Arial"/>
                <w:szCs w:val="24"/>
              </w:rPr>
              <w:t>Asset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3ABCC7CB" w14:textId="77777777" w:rsidR="004254B4" w:rsidRPr="001F30EB" w:rsidRDefault="004254B4" w:rsidP="00375695">
            <w:pPr>
              <w:pStyle w:val="ListParagraph"/>
              <w:numPr>
                <w:ilvl w:val="0"/>
                <w:numId w:val="6"/>
              </w:numPr>
              <w:spacing w:before="60" w:after="60"/>
              <w:ind w:left="283"/>
              <w:jc w:val="left"/>
              <w:rPr>
                <w:rFonts w:ascii="Arial Narrow" w:hAnsi="Arial Narrow" w:cs="Arial"/>
                <w:szCs w:val="24"/>
              </w:rPr>
            </w:pPr>
            <w:r w:rsidRPr="001F30EB">
              <w:rPr>
                <w:rFonts w:ascii="Arial Narrow" w:hAnsi="Arial Narrow" w:cs="Arial"/>
                <w:szCs w:val="24"/>
              </w:rPr>
              <w:t>To be reviewed as part of the ‘as constructed’ drawing process (external and internal)</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77498352" w14:textId="77777777" w:rsidR="004254B4" w:rsidRPr="001F30EB" w:rsidRDefault="003D0629"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r w:rsidR="006D6A57" w:rsidRPr="001F30EB" w14:paraId="164D20B4" w14:textId="77777777" w:rsidTr="004A7C4C">
        <w:trPr>
          <w:cantSplit/>
        </w:trPr>
        <w:tc>
          <w:tcPr>
            <w:tcW w:w="1242" w:type="dxa"/>
            <w:tcBorders>
              <w:top w:val="single" w:sz="8" w:space="0" w:color="FFFFFF" w:themeColor="background1"/>
              <w:left w:val="single" w:sz="8" w:space="0" w:color="auto"/>
              <w:bottom w:val="single" w:sz="8" w:space="0" w:color="auto"/>
              <w:right w:val="single" w:sz="24" w:space="0" w:color="FFFFFF" w:themeColor="background1"/>
            </w:tcBorders>
            <w:shd w:val="clear" w:color="auto" w:fill="4BACC6" w:themeFill="accent5"/>
          </w:tcPr>
          <w:p w14:paraId="5D909A13"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5.1.2</w:t>
            </w:r>
          </w:p>
        </w:tc>
        <w:tc>
          <w:tcPr>
            <w:tcW w:w="1843" w:type="dxa"/>
            <w:tcBorders>
              <w:top w:val="single" w:sz="8" w:space="0" w:color="FFFFFF" w:themeColor="background1"/>
              <w:left w:val="single" w:sz="24" w:space="0" w:color="FFFFFF" w:themeColor="background1"/>
              <w:bottom w:val="single" w:sz="8" w:space="0" w:color="auto"/>
              <w:right w:val="single" w:sz="8" w:space="0" w:color="FFFFFF" w:themeColor="background1"/>
            </w:tcBorders>
            <w:shd w:val="clear" w:color="auto" w:fill="DAEEF3" w:themeFill="accent5" w:themeFillTint="33"/>
          </w:tcPr>
          <w:p w14:paraId="0F73AA84" w14:textId="77777777" w:rsidR="006D6A57" w:rsidRPr="001F30EB" w:rsidRDefault="006D6A57" w:rsidP="006A1785">
            <w:pPr>
              <w:spacing w:before="60" w:after="60"/>
              <w:jc w:val="left"/>
              <w:rPr>
                <w:rFonts w:ascii="Arial Narrow" w:hAnsi="Arial Narrow" w:cs="Arial"/>
                <w:szCs w:val="24"/>
              </w:rPr>
            </w:pPr>
            <w:r>
              <w:rPr>
                <w:rFonts w:ascii="Arial Narrow" w:hAnsi="Arial Narrow" w:cs="Arial"/>
                <w:szCs w:val="24"/>
              </w:rPr>
              <w:t xml:space="preserve">Condition assessment of </w:t>
            </w:r>
            <w:r w:rsidRPr="001F30EB">
              <w:rPr>
                <w:rFonts w:ascii="Arial Narrow" w:hAnsi="Arial Narrow" w:cs="Arial"/>
                <w:szCs w:val="24"/>
              </w:rPr>
              <w:t>footpath assets</w:t>
            </w:r>
          </w:p>
        </w:tc>
        <w:tc>
          <w:tcPr>
            <w:tcW w:w="2126"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DAEEF3" w:themeFill="accent5" w:themeFillTint="33"/>
          </w:tcPr>
          <w:p w14:paraId="636134BC" w14:textId="77777777" w:rsidR="006D6A57" w:rsidRDefault="006D6A57" w:rsidP="006A1785">
            <w:pPr>
              <w:spacing w:before="60" w:after="60"/>
              <w:ind w:right="33"/>
              <w:jc w:val="center"/>
              <w:rPr>
                <w:rFonts w:ascii="Arial Narrow" w:hAnsi="Arial Narrow" w:cs="Arial"/>
                <w:szCs w:val="24"/>
              </w:rPr>
            </w:pPr>
            <w:r>
              <w:rPr>
                <w:rFonts w:ascii="Arial Narrow" w:hAnsi="Arial Narrow" w:cs="Arial"/>
                <w:szCs w:val="24"/>
              </w:rPr>
              <w:t xml:space="preserve">Project &amp; </w:t>
            </w:r>
            <w:r w:rsidRPr="001F30EB">
              <w:rPr>
                <w:rFonts w:ascii="Arial Narrow" w:hAnsi="Arial Narrow" w:cs="Arial"/>
                <w:szCs w:val="24"/>
              </w:rPr>
              <w:t>Asset Services</w:t>
            </w:r>
          </w:p>
        </w:tc>
        <w:tc>
          <w:tcPr>
            <w:tcW w:w="283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DAEEF3" w:themeFill="accent5" w:themeFillTint="33"/>
          </w:tcPr>
          <w:p w14:paraId="233105A3" w14:textId="77777777" w:rsidR="006D6A57" w:rsidRDefault="006D6A57"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D</w:t>
            </w:r>
            <w:r w:rsidRPr="001F30EB">
              <w:rPr>
                <w:rFonts w:ascii="Arial Narrow" w:hAnsi="Arial Narrow" w:cs="Arial"/>
                <w:szCs w:val="24"/>
              </w:rPr>
              <w:t>ata pickup on a</w:t>
            </w:r>
            <w:r>
              <w:rPr>
                <w:rFonts w:ascii="Arial Narrow" w:hAnsi="Arial Narrow" w:cs="Arial"/>
                <w:szCs w:val="24"/>
              </w:rPr>
              <w:t xml:space="preserve"> 5</w:t>
            </w:r>
            <w:r w:rsidRPr="001F30EB">
              <w:rPr>
                <w:rFonts w:ascii="Arial Narrow" w:hAnsi="Arial Narrow" w:cs="Arial"/>
                <w:szCs w:val="24"/>
              </w:rPr>
              <w:t xml:space="preserve"> year basis</w:t>
            </w:r>
          </w:p>
          <w:p w14:paraId="2AB202ED" w14:textId="77777777" w:rsidR="006D6A57" w:rsidRPr="001F30EB" w:rsidRDefault="006D6A57"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Review data audit requirements</w:t>
            </w:r>
          </w:p>
        </w:tc>
        <w:tc>
          <w:tcPr>
            <w:tcW w:w="1701" w:type="dxa"/>
            <w:tcBorders>
              <w:top w:val="single" w:sz="8" w:space="0" w:color="FFFFFF" w:themeColor="background1"/>
              <w:left w:val="single" w:sz="8" w:space="0" w:color="FFFFFF" w:themeColor="background1"/>
              <w:bottom w:val="single" w:sz="8" w:space="0" w:color="auto"/>
              <w:right w:val="single" w:sz="8" w:space="0" w:color="auto"/>
            </w:tcBorders>
            <w:shd w:val="clear" w:color="auto" w:fill="DAEEF3" w:themeFill="accent5" w:themeFillTint="33"/>
            <w:vAlign w:val="center"/>
          </w:tcPr>
          <w:p w14:paraId="0A27073B" w14:textId="77777777" w:rsidR="006D6A57" w:rsidRDefault="006D6A57">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 2016 &amp; 2019</w:t>
            </w:r>
          </w:p>
        </w:tc>
      </w:tr>
      <w:tr w:rsidR="006D6A57" w:rsidRPr="001F30EB" w14:paraId="76572571" w14:textId="77777777" w:rsidTr="004A7C4C">
        <w:trPr>
          <w:cantSplit/>
        </w:trPr>
        <w:tc>
          <w:tcPr>
            <w:tcW w:w="1242" w:type="dxa"/>
            <w:tcBorders>
              <w:top w:val="single" w:sz="8" w:space="0" w:color="auto"/>
              <w:left w:val="single" w:sz="8" w:space="0" w:color="auto"/>
              <w:bottom w:val="single" w:sz="8" w:space="0" w:color="FFFFFF" w:themeColor="background1"/>
              <w:right w:val="single" w:sz="24" w:space="0" w:color="FFFFFF" w:themeColor="background1"/>
            </w:tcBorders>
            <w:shd w:val="clear" w:color="auto" w:fill="4BACC6" w:themeFill="accent5"/>
          </w:tcPr>
          <w:p w14:paraId="27EC4AB2"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lastRenderedPageBreak/>
              <w:t>5.1.3</w:t>
            </w:r>
          </w:p>
        </w:tc>
        <w:tc>
          <w:tcPr>
            <w:tcW w:w="1843" w:type="dxa"/>
            <w:tcBorders>
              <w:top w:val="single" w:sz="8" w:space="0" w:color="auto"/>
              <w:left w:val="single" w:sz="24"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2EFA5612" w14:textId="77777777" w:rsidR="006D6A57" w:rsidRPr="001F30EB" w:rsidRDefault="006D6A57" w:rsidP="006A1785">
            <w:pPr>
              <w:spacing w:before="60" w:after="60"/>
              <w:jc w:val="left"/>
              <w:rPr>
                <w:rFonts w:ascii="Arial Narrow" w:hAnsi="Arial Narrow" w:cs="Arial"/>
                <w:szCs w:val="24"/>
              </w:rPr>
            </w:pPr>
            <w:r>
              <w:rPr>
                <w:rFonts w:ascii="Arial Narrow" w:hAnsi="Arial Narrow" w:cs="Arial"/>
                <w:szCs w:val="24"/>
              </w:rPr>
              <w:t>Deterioration modelling</w:t>
            </w:r>
          </w:p>
        </w:tc>
        <w:tc>
          <w:tcPr>
            <w:tcW w:w="2126"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54C4CE59" w14:textId="77777777" w:rsidR="006D6A57" w:rsidRPr="001F30EB" w:rsidRDefault="006D6A57" w:rsidP="006A1785">
            <w:pPr>
              <w:spacing w:before="60" w:after="60"/>
              <w:ind w:right="33"/>
              <w:jc w:val="center"/>
              <w:rPr>
                <w:rFonts w:ascii="Arial Narrow" w:hAnsi="Arial Narrow" w:cs="Arial"/>
                <w:szCs w:val="24"/>
              </w:rPr>
            </w:pPr>
            <w:r>
              <w:rPr>
                <w:rFonts w:ascii="Arial Narrow" w:hAnsi="Arial Narrow" w:cs="Arial"/>
                <w:szCs w:val="24"/>
              </w:rPr>
              <w:t xml:space="preserve">Project &amp; </w:t>
            </w:r>
            <w:r w:rsidRPr="001F30EB">
              <w:rPr>
                <w:rFonts w:ascii="Arial Narrow" w:hAnsi="Arial Narrow" w:cs="Arial"/>
                <w:szCs w:val="24"/>
              </w:rPr>
              <w:t>Asset Services</w:t>
            </w:r>
          </w:p>
        </w:tc>
        <w:tc>
          <w:tcPr>
            <w:tcW w:w="2835"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1D2D160F" w14:textId="77777777" w:rsidR="006D6A57" w:rsidRDefault="006D6A57" w:rsidP="00375695">
            <w:pPr>
              <w:pStyle w:val="ListParagraph"/>
              <w:numPr>
                <w:ilvl w:val="0"/>
                <w:numId w:val="4"/>
              </w:numPr>
              <w:spacing w:before="60" w:after="60"/>
              <w:ind w:left="283"/>
              <w:jc w:val="left"/>
              <w:rPr>
                <w:rFonts w:ascii="Arial Narrow" w:hAnsi="Arial Narrow" w:cs="Arial"/>
                <w:szCs w:val="24"/>
              </w:rPr>
            </w:pPr>
            <w:r w:rsidRPr="001F30EB">
              <w:rPr>
                <w:rFonts w:ascii="Arial Narrow" w:hAnsi="Arial Narrow" w:cs="Arial"/>
                <w:szCs w:val="24"/>
              </w:rPr>
              <w:t>Develop deterioration model to determine useful life and asset trends</w:t>
            </w:r>
          </w:p>
          <w:p w14:paraId="65B3FC3D" w14:textId="77777777" w:rsidR="006D6A57" w:rsidRPr="001F30EB" w:rsidRDefault="006D6A57" w:rsidP="00375695">
            <w:pPr>
              <w:pStyle w:val="ListParagraph"/>
              <w:numPr>
                <w:ilvl w:val="0"/>
                <w:numId w:val="4"/>
              </w:numPr>
              <w:spacing w:before="60" w:after="60"/>
              <w:ind w:left="283"/>
              <w:jc w:val="left"/>
              <w:rPr>
                <w:rFonts w:ascii="Arial Narrow" w:hAnsi="Arial Narrow" w:cs="Arial"/>
                <w:szCs w:val="24"/>
              </w:rPr>
            </w:pPr>
            <w:r>
              <w:rPr>
                <w:rFonts w:ascii="Arial Narrow" w:hAnsi="Arial Narrow" w:cs="Arial"/>
                <w:szCs w:val="24"/>
              </w:rPr>
              <w:t>Develop deterioration strategy</w:t>
            </w:r>
          </w:p>
        </w:tc>
        <w:tc>
          <w:tcPr>
            <w:tcW w:w="1701" w:type="dxa"/>
            <w:tcBorders>
              <w:top w:val="single" w:sz="8" w:space="0" w:color="auto"/>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44E0923E" w14:textId="77777777" w:rsidR="006D6A57" w:rsidRPr="001F30EB"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Reassessed /strategy completed</w:t>
            </w:r>
          </w:p>
        </w:tc>
      </w:tr>
      <w:tr w:rsidR="006D6A57" w:rsidRPr="001F30EB" w14:paraId="733B32FE" w14:textId="77777777" w:rsidTr="007A0BF7">
        <w:trPr>
          <w:cantSplit/>
        </w:trPr>
        <w:tc>
          <w:tcPr>
            <w:tcW w:w="1242" w:type="dxa"/>
            <w:tcBorders>
              <w:top w:val="single" w:sz="8" w:space="0" w:color="FFFFFF" w:themeColor="background1"/>
              <w:left w:val="single" w:sz="8" w:space="0" w:color="auto"/>
              <w:bottom w:val="single" w:sz="8" w:space="0" w:color="FFFFFF" w:themeColor="background1"/>
              <w:right w:val="single" w:sz="24" w:space="0" w:color="FFFFFF" w:themeColor="background1"/>
            </w:tcBorders>
            <w:shd w:val="clear" w:color="auto" w:fill="4BACC6" w:themeFill="accent5"/>
          </w:tcPr>
          <w:p w14:paraId="084466DA"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5.2</w:t>
            </w:r>
          </w:p>
          <w:p w14:paraId="432A63FB" w14:textId="77777777" w:rsidR="006D6A57" w:rsidRPr="00F953F8" w:rsidRDefault="006D6A57" w:rsidP="006A1785">
            <w:pPr>
              <w:pStyle w:val="BodyText"/>
              <w:jc w:val="center"/>
              <w:rPr>
                <w:color w:val="FFFFFF" w:themeColor="background1"/>
              </w:rPr>
            </w:pPr>
            <w:r w:rsidRPr="00F953F8">
              <w:rPr>
                <w:rFonts w:ascii="Arial Narrow" w:hAnsi="Arial Narrow"/>
                <w:color w:val="FFFFFF" w:themeColor="background1"/>
              </w:rPr>
              <w:t>5.4</w:t>
            </w:r>
          </w:p>
        </w:tc>
        <w:tc>
          <w:tcPr>
            <w:tcW w:w="1843"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4C4A6328" w14:textId="77777777" w:rsidR="006D6A57" w:rsidRPr="001F30EB" w:rsidRDefault="006D6A57" w:rsidP="006A1785">
            <w:pPr>
              <w:spacing w:before="60" w:after="60"/>
              <w:jc w:val="left"/>
              <w:rPr>
                <w:rFonts w:ascii="Arial Narrow" w:hAnsi="Arial Narrow" w:cs="Arial"/>
                <w:szCs w:val="24"/>
              </w:rPr>
            </w:pPr>
            <w:r>
              <w:rPr>
                <w:rFonts w:ascii="Arial Narrow" w:hAnsi="Arial Narrow" w:cs="Arial"/>
                <w:szCs w:val="24"/>
              </w:rPr>
              <w:t>Investigate recording</w:t>
            </w:r>
            <w:r w:rsidRPr="001F30EB">
              <w:rPr>
                <w:rFonts w:ascii="Arial Narrow" w:hAnsi="Arial Narrow" w:cs="Arial"/>
                <w:szCs w:val="24"/>
              </w:rPr>
              <w:t xml:space="preserve"> of Operational and Capital Works expenditure</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5CCAE09A" w14:textId="77777777" w:rsidR="006D6A57" w:rsidRPr="001F30EB" w:rsidRDefault="006D6A57" w:rsidP="006A1785">
            <w:pPr>
              <w:spacing w:before="60" w:after="60"/>
              <w:ind w:right="33"/>
              <w:jc w:val="center"/>
              <w:rPr>
                <w:rFonts w:ascii="Arial Narrow" w:hAnsi="Arial Narrow" w:cs="Arial"/>
                <w:szCs w:val="24"/>
              </w:rPr>
            </w:pPr>
            <w:r>
              <w:rPr>
                <w:rFonts w:ascii="Arial Narrow" w:hAnsi="Arial Narrow" w:cs="Arial"/>
                <w:szCs w:val="24"/>
              </w:rPr>
              <w:t xml:space="preserve">Finance Services, Project &amp; </w:t>
            </w:r>
            <w:r w:rsidRPr="001F30EB">
              <w:rPr>
                <w:rFonts w:ascii="Arial Narrow" w:hAnsi="Arial Narrow" w:cs="Arial"/>
                <w:szCs w:val="24"/>
              </w:rPr>
              <w:t xml:space="preserve">Asset Services </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6E176370"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sidRPr="001F30EB">
              <w:rPr>
                <w:rFonts w:ascii="Arial Narrow" w:hAnsi="Arial Narrow" w:cs="Arial"/>
                <w:szCs w:val="24"/>
              </w:rPr>
              <w:t>Improve reporting from Technology One to reflect reactive versus planned expenditure</w:t>
            </w:r>
          </w:p>
          <w:p w14:paraId="124EA452"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sidRPr="001F30EB">
              <w:rPr>
                <w:rFonts w:ascii="Arial Narrow" w:hAnsi="Arial Narrow" w:cs="Arial"/>
                <w:szCs w:val="24"/>
              </w:rPr>
              <w:t>Alter CW program templates to identify upgrade, renewals and new</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6E028F2A" w14:textId="77777777" w:rsidR="006D6A57" w:rsidRPr="001F30EB"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r w:rsidR="006D6A57" w:rsidRPr="001F30EB" w14:paraId="12B08752" w14:textId="77777777" w:rsidTr="007A0BF7">
        <w:trPr>
          <w:cantSplit/>
        </w:trPr>
        <w:tc>
          <w:tcPr>
            <w:tcW w:w="1242" w:type="dxa"/>
            <w:tcBorders>
              <w:top w:val="single" w:sz="8" w:space="0" w:color="FFFFFF" w:themeColor="background1"/>
              <w:left w:val="single" w:sz="8" w:space="0" w:color="auto"/>
              <w:bottom w:val="single" w:sz="8" w:space="0" w:color="FFFFFF" w:themeColor="background1"/>
              <w:right w:val="single" w:sz="24" w:space="0" w:color="FFFFFF" w:themeColor="background1"/>
            </w:tcBorders>
            <w:shd w:val="clear" w:color="auto" w:fill="4BACC6" w:themeFill="accent5"/>
          </w:tcPr>
          <w:p w14:paraId="41203A7A"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6.2</w:t>
            </w:r>
          </w:p>
        </w:tc>
        <w:tc>
          <w:tcPr>
            <w:tcW w:w="1843"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0C702C12" w14:textId="77777777" w:rsidR="006D6A57" w:rsidRPr="001F30EB" w:rsidRDefault="006D6A57" w:rsidP="006A1785">
            <w:pPr>
              <w:spacing w:before="60" w:after="60"/>
              <w:jc w:val="left"/>
              <w:rPr>
                <w:rFonts w:ascii="Arial Narrow" w:hAnsi="Arial Narrow" w:cs="Arial"/>
                <w:szCs w:val="24"/>
              </w:rPr>
            </w:pPr>
            <w:r w:rsidRPr="001F30EB">
              <w:rPr>
                <w:rFonts w:ascii="Arial Narrow" w:hAnsi="Arial Narrow" w:cs="Arial"/>
                <w:szCs w:val="24"/>
              </w:rPr>
              <w:t xml:space="preserve">Review </w:t>
            </w:r>
            <w:r>
              <w:rPr>
                <w:rFonts w:ascii="Arial Narrow" w:hAnsi="Arial Narrow" w:cs="Arial"/>
                <w:szCs w:val="24"/>
              </w:rPr>
              <w:t>Funding Strategy</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46576889" w14:textId="77777777" w:rsidR="006D6A57" w:rsidRPr="001F30EB" w:rsidRDefault="006D6A57" w:rsidP="006A1785">
            <w:pPr>
              <w:spacing w:before="60" w:after="60"/>
              <w:ind w:right="33"/>
              <w:jc w:val="center"/>
              <w:rPr>
                <w:rFonts w:ascii="Arial Narrow" w:hAnsi="Arial Narrow" w:cs="Arial"/>
                <w:szCs w:val="24"/>
              </w:rPr>
            </w:pPr>
            <w:r w:rsidRPr="001F30EB">
              <w:rPr>
                <w:rFonts w:ascii="Arial Narrow" w:hAnsi="Arial Narrow" w:cs="Arial"/>
                <w:szCs w:val="24"/>
              </w:rPr>
              <w:t>Finance</w:t>
            </w:r>
            <w:r>
              <w:rPr>
                <w:rFonts w:ascii="Arial Narrow" w:hAnsi="Arial Narrow" w:cs="Arial"/>
                <w:szCs w:val="24"/>
              </w:rPr>
              <w:t xml:space="preserve"> Services, Project</w:t>
            </w:r>
            <w:r w:rsidRPr="001F30EB">
              <w:rPr>
                <w:rFonts w:ascii="Arial Narrow" w:hAnsi="Arial Narrow" w:cs="Arial"/>
                <w:szCs w:val="24"/>
              </w:rPr>
              <w:t xml:space="preserve"> &amp; Asset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225219E0" w14:textId="77777777" w:rsidR="006D6A57" w:rsidRPr="001F30EB" w:rsidRDefault="006D6A57" w:rsidP="00375695">
            <w:pPr>
              <w:pStyle w:val="ListParagraph"/>
              <w:numPr>
                <w:ilvl w:val="0"/>
                <w:numId w:val="3"/>
              </w:numPr>
              <w:spacing w:before="60" w:after="60"/>
              <w:ind w:left="283"/>
              <w:jc w:val="left"/>
              <w:rPr>
                <w:rFonts w:ascii="Arial Narrow" w:hAnsi="Arial Narrow" w:cs="Arial"/>
                <w:szCs w:val="24"/>
              </w:rPr>
            </w:pPr>
            <w:r>
              <w:rPr>
                <w:rFonts w:ascii="Arial Narrow" w:hAnsi="Arial Narrow" w:cs="Arial"/>
                <w:szCs w:val="24"/>
              </w:rPr>
              <w:t>Report increase from 20% to 80% depreciation for renewal of assets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42B77281" w14:textId="77777777" w:rsidR="006D6A57" w:rsidRPr="001F30EB"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Addressed in LTFP</w:t>
            </w:r>
          </w:p>
        </w:tc>
      </w:tr>
      <w:tr w:rsidR="006D6A57" w:rsidRPr="001F30EB" w14:paraId="35DCEDDC" w14:textId="77777777" w:rsidTr="007A0BF7">
        <w:trPr>
          <w:cantSplit/>
        </w:trPr>
        <w:tc>
          <w:tcPr>
            <w:tcW w:w="1242" w:type="dxa"/>
            <w:tcBorders>
              <w:top w:val="single" w:sz="8" w:space="0" w:color="FFFFFF" w:themeColor="background1"/>
              <w:left w:val="single" w:sz="8" w:space="0" w:color="auto"/>
              <w:bottom w:val="single" w:sz="8" w:space="0" w:color="FFFFFF" w:themeColor="background1"/>
              <w:right w:val="single" w:sz="24" w:space="0" w:color="FFFFFF" w:themeColor="background1"/>
            </w:tcBorders>
            <w:shd w:val="clear" w:color="auto" w:fill="4BACC6" w:themeFill="accent5"/>
          </w:tcPr>
          <w:p w14:paraId="19442112"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6.3</w:t>
            </w:r>
          </w:p>
        </w:tc>
        <w:tc>
          <w:tcPr>
            <w:tcW w:w="1843"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65B55F91" w14:textId="77777777" w:rsidR="006D6A57" w:rsidRDefault="006D6A57" w:rsidP="006A1785">
            <w:pPr>
              <w:spacing w:before="60" w:after="60"/>
              <w:jc w:val="left"/>
              <w:rPr>
                <w:rFonts w:ascii="Arial Narrow" w:hAnsi="Arial Narrow" w:cs="Arial"/>
                <w:szCs w:val="24"/>
              </w:rPr>
            </w:pPr>
            <w:r>
              <w:rPr>
                <w:rFonts w:ascii="Arial Narrow" w:hAnsi="Arial Narrow" w:cs="Arial"/>
                <w:szCs w:val="24"/>
              </w:rPr>
              <w:t>Dept. of LG sustainability ratios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7A202812" w14:textId="77777777" w:rsidR="006D6A57" w:rsidRDefault="006D6A57" w:rsidP="006A1785">
            <w:pPr>
              <w:spacing w:before="60" w:after="60"/>
              <w:ind w:right="33"/>
              <w:jc w:val="center"/>
              <w:rPr>
                <w:rFonts w:ascii="Arial Narrow" w:hAnsi="Arial Narrow" w:cs="Arial"/>
                <w:szCs w:val="24"/>
              </w:rPr>
            </w:pPr>
            <w:r>
              <w:rPr>
                <w:rFonts w:ascii="Arial Narrow" w:hAnsi="Arial Narrow" w:cs="Arial"/>
                <w:szCs w:val="24"/>
              </w:rPr>
              <w:t xml:space="preserve">Finance Services, Project &amp; </w:t>
            </w:r>
            <w:r w:rsidRPr="001F30EB">
              <w:rPr>
                <w:rFonts w:ascii="Arial Narrow" w:hAnsi="Arial Narrow" w:cs="Arial"/>
                <w:szCs w:val="24"/>
              </w:rPr>
              <w:t>Asset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3EAE380B"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Pr>
                <w:rFonts w:ascii="Arial Narrow" w:hAnsi="Arial Narrow" w:cs="Arial"/>
                <w:szCs w:val="24"/>
              </w:rPr>
              <w:t xml:space="preserve">Improve financial reporting on renewal and upgrade expenditure </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3CA8E16D" w14:textId="77777777" w:rsidR="006D6A57"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r w:rsidR="006D6A57" w:rsidRPr="001F30EB" w14:paraId="28F32E55" w14:textId="77777777" w:rsidTr="007A0BF7">
        <w:trPr>
          <w:cantSplit/>
        </w:trPr>
        <w:tc>
          <w:tcPr>
            <w:tcW w:w="1242" w:type="dxa"/>
            <w:tcBorders>
              <w:top w:val="single" w:sz="8" w:space="0" w:color="FFFFFF" w:themeColor="background1"/>
              <w:left w:val="single" w:sz="8" w:space="0" w:color="auto"/>
              <w:bottom w:val="single" w:sz="8" w:space="0" w:color="FFFFFF" w:themeColor="background1"/>
              <w:right w:val="single" w:sz="24" w:space="0" w:color="FFFFFF" w:themeColor="background1"/>
            </w:tcBorders>
            <w:shd w:val="clear" w:color="auto" w:fill="4BACC6" w:themeFill="accent5"/>
          </w:tcPr>
          <w:p w14:paraId="779DF3E6" w14:textId="77777777" w:rsidR="006D6A57" w:rsidRPr="00F953F8" w:rsidRDefault="006D6A57" w:rsidP="006A1785">
            <w:pPr>
              <w:spacing w:before="60" w:after="60"/>
              <w:jc w:val="center"/>
              <w:rPr>
                <w:rFonts w:ascii="Arial Narrow" w:hAnsi="Arial Narrow" w:cs="Arial"/>
                <w:color w:val="FFFFFF" w:themeColor="background1"/>
                <w:szCs w:val="24"/>
              </w:rPr>
            </w:pPr>
            <w:r>
              <w:rPr>
                <w:rFonts w:ascii="Arial Narrow" w:hAnsi="Arial Narrow" w:cs="Arial"/>
                <w:color w:val="FFFFFF" w:themeColor="background1"/>
                <w:szCs w:val="24"/>
              </w:rPr>
              <w:t>6.3</w:t>
            </w:r>
          </w:p>
        </w:tc>
        <w:tc>
          <w:tcPr>
            <w:tcW w:w="1843"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01A2BCBD" w14:textId="77777777" w:rsidR="006D6A57" w:rsidRDefault="006D6A57" w:rsidP="006A1785">
            <w:pPr>
              <w:spacing w:before="60" w:after="60"/>
              <w:jc w:val="left"/>
              <w:rPr>
                <w:rFonts w:ascii="Arial Narrow" w:hAnsi="Arial Narrow" w:cs="Arial"/>
                <w:szCs w:val="24"/>
              </w:rPr>
            </w:pPr>
            <w:r>
              <w:rPr>
                <w:rFonts w:ascii="Arial Narrow" w:hAnsi="Arial Narrow" w:cs="Arial"/>
                <w:szCs w:val="24"/>
              </w:rPr>
              <w:t>Sustainability Ratios Performance</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5B2F4DA4" w14:textId="77777777" w:rsidR="006D6A57" w:rsidRDefault="006D6A57">
            <w:pPr>
              <w:spacing w:before="60" w:after="60"/>
              <w:ind w:right="33"/>
              <w:jc w:val="center"/>
              <w:rPr>
                <w:rFonts w:ascii="Arial Narrow" w:hAnsi="Arial Narrow" w:cs="Arial"/>
                <w:szCs w:val="24"/>
              </w:rPr>
            </w:pPr>
            <w:r>
              <w:rPr>
                <w:rFonts w:ascii="Arial Narrow" w:hAnsi="Arial Narrow" w:cs="Arial"/>
                <w:szCs w:val="24"/>
              </w:rPr>
              <w:t>Project &amp; Asset Services, Road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40C26226"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Pr>
                <w:rFonts w:ascii="Arial Narrow" w:hAnsi="Arial Narrow" w:cs="Arial"/>
                <w:szCs w:val="24"/>
              </w:rPr>
              <w:t>Recommend improvements to achieve advanced status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7C3C1B60" w14:textId="77777777" w:rsidR="006D6A57"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r w:rsidR="006D6A57" w:rsidRPr="001F30EB" w14:paraId="525C6F0C" w14:textId="77777777" w:rsidTr="007A0BF7">
        <w:trPr>
          <w:cantSplit/>
        </w:trPr>
        <w:tc>
          <w:tcPr>
            <w:tcW w:w="1242" w:type="dxa"/>
            <w:tcBorders>
              <w:top w:val="single" w:sz="8" w:space="0" w:color="FFFFFF" w:themeColor="background1"/>
              <w:left w:val="single" w:sz="8" w:space="0" w:color="auto"/>
              <w:bottom w:val="single" w:sz="8" w:space="0" w:color="auto"/>
              <w:right w:val="single" w:sz="24" w:space="0" w:color="FFFFFF" w:themeColor="background1"/>
            </w:tcBorders>
            <w:shd w:val="clear" w:color="auto" w:fill="4BACC6" w:themeFill="accent5"/>
          </w:tcPr>
          <w:p w14:paraId="1445417B" w14:textId="77777777" w:rsidR="006D6A57" w:rsidRPr="00F953F8" w:rsidRDefault="006D6A57" w:rsidP="006A1785">
            <w:pPr>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6.4</w:t>
            </w:r>
          </w:p>
        </w:tc>
        <w:tc>
          <w:tcPr>
            <w:tcW w:w="1843" w:type="dxa"/>
            <w:tcBorders>
              <w:top w:val="single" w:sz="8" w:space="0" w:color="FFFFFF" w:themeColor="background1"/>
              <w:left w:val="single" w:sz="24" w:space="0" w:color="FFFFFF" w:themeColor="background1"/>
              <w:bottom w:val="single" w:sz="8" w:space="0" w:color="auto"/>
              <w:right w:val="single" w:sz="8" w:space="0" w:color="FFFFFF" w:themeColor="background1"/>
            </w:tcBorders>
            <w:shd w:val="clear" w:color="auto" w:fill="DAEEF3" w:themeFill="accent5" w:themeFillTint="33"/>
          </w:tcPr>
          <w:p w14:paraId="3FEDD3EA" w14:textId="77777777" w:rsidR="006D6A57" w:rsidRPr="001F30EB" w:rsidRDefault="006D6A57" w:rsidP="006A1785">
            <w:pPr>
              <w:spacing w:before="60" w:after="60"/>
              <w:jc w:val="left"/>
              <w:rPr>
                <w:rFonts w:ascii="Arial Narrow" w:hAnsi="Arial Narrow" w:cs="Arial"/>
                <w:szCs w:val="24"/>
              </w:rPr>
            </w:pPr>
            <w:r>
              <w:rPr>
                <w:rFonts w:ascii="Arial Narrow" w:hAnsi="Arial Narrow" w:cs="Arial"/>
                <w:szCs w:val="24"/>
              </w:rPr>
              <w:t>Improve asset revaluation process</w:t>
            </w:r>
          </w:p>
        </w:tc>
        <w:tc>
          <w:tcPr>
            <w:tcW w:w="2126"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DAEEF3" w:themeFill="accent5" w:themeFillTint="33"/>
          </w:tcPr>
          <w:p w14:paraId="21E795BF" w14:textId="77777777" w:rsidR="006D6A57" w:rsidRPr="001F30EB" w:rsidRDefault="006D6A57">
            <w:pPr>
              <w:spacing w:before="60" w:after="60"/>
              <w:ind w:right="33"/>
              <w:jc w:val="center"/>
              <w:rPr>
                <w:rFonts w:ascii="Arial Narrow" w:hAnsi="Arial Narrow" w:cs="Arial"/>
                <w:szCs w:val="24"/>
              </w:rPr>
            </w:pPr>
            <w:r>
              <w:rPr>
                <w:rFonts w:ascii="Arial Narrow" w:hAnsi="Arial Narrow" w:cs="Arial"/>
                <w:szCs w:val="24"/>
              </w:rPr>
              <w:t xml:space="preserve">Project &amp; </w:t>
            </w:r>
            <w:r w:rsidRPr="001F30EB">
              <w:rPr>
                <w:rFonts w:ascii="Arial Narrow" w:hAnsi="Arial Narrow" w:cs="Arial"/>
                <w:szCs w:val="24"/>
              </w:rPr>
              <w:t>Asset Services</w:t>
            </w:r>
            <w:r>
              <w:rPr>
                <w:rFonts w:ascii="Arial Narrow" w:hAnsi="Arial Narrow" w:cs="Arial"/>
                <w:szCs w:val="24"/>
              </w:rPr>
              <w:t xml:space="preserve">, Road Services, Finance Services </w:t>
            </w:r>
          </w:p>
        </w:tc>
        <w:tc>
          <w:tcPr>
            <w:tcW w:w="283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DAEEF3" w:themeFill="accent5" w:themeFillTint="33"/>
          </w:tcPr>
          <w:p w14:paraId="4C687CC7"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sidRPr="001F30EB">
              <w:rPr>
                <w:rFonts w:ascii="Arial Narrow" w:hAnsi="Arial Narrow" w:cs="Arial"/>
                <w:szCs w:val="24"/>
              </w:rPr>
              <w:t>Continue to develop plan to better reflect acquisitions, renewals, upgrades and disposals</w:t>
            </w:r>
          </w:p>
          <w:p w14:paraId="5F87C791" w14:textId="77777777" w:rsidR="006D6A57" w:rsidRPr="001F30EB" w:rsidRDefault="006D6A57" w:rsidP="00375695">
            <w:pPr>
              <w:pStyle w:val="ListParagraph"/>
              <w:numPr>
                <w:ilvl w:val="0"/>
                <w:numId w:val="5"/>
              </w:numPr>
              <w:spacing w:before="60" w:after="60"/>
              <w:ind w:left="283"/>
              <w:jc w:val="left"/>
              <w:rPr>
                <w:rFonts w:ascii="Arial Narrow" w:hAnsi="Arial Narrow" w:cs="Arial"/>
                <w:szCs w:val="24"/>
              </w:rPr>
            </w:pPr>
            <w:r w:rsidRPr="001F30EB">
              <w:rPr>
                <w:rFonts w:ascii="Arial Narrow" w:hAnsi="Arial Narrow" w:cs="Arial"/>
                <w:szCs w:val="24"/>
              </w:rPr>
              <w:t>Ensure the financial and operational asset registers replicate the same data</w:t>
            </w:r>
          </w:p>
        </w:tc>
        <w:tc>
          <w:tcPr>
            <w:tcW w:w="1701" w:type="dxa"/>
            <w:tcBorders>
              <w:top w:val="single" w:sz="8" w:space="0" w:color="FFFFFF" w:themeColor="background1"/>
              <w:left w:val="single" w:sz="8" w:space="0" w:color="FFFFFF" w:themeColor="background1"/>
              <w:bottom w:val="single" w:sz="8" w:space="0" w:color="auto"/>
              <w:right w:val="single" w:sz="8" w:space="0" w:color="auto"/>
            </w:tcBorders>
            <w:shd w:val="clear" w:color="auto" w:fill="DAEEF3" w:themeFill="accent5" w:themeFillTint="33"/>
            <w:vAlign w:val="center"/>
          </w:tcPr>
          <w:p w14:paraId="76FFE761" w14:textId="77777777" w:rsidR="006D6A57" w:rsidRPr="001F30EB" w:rsidRDefault="006D6A57" w:rsidP="006A1785">
            <w:pPr>
              <w:pStyle w:val="ListParagraph"/>
              <w:tabs>
                <w:tab w:val="left" w:pos="1593"/>
              </w:tabs>
              <w:spacing w:before="60" w:after="60"/>
              <w:ind w:left="0"/>
              <w:jc w:val="center"/>
              <w:rPr>
                <w:rFonts w:ascii="Arial Narrow" w:hAnsi="Arial Narrow" w:cs="Arial"/>
                <w:szCs w:val="24"/>
              </w:rPr>
            </w:pPr>
            <w:r>
              <w:rPr>
                <w:rFonts w:ascii="Arial Narrow" w:hAnsi="Arial Narrow" w:cs="Arial"/>
                <w:szCs w:val="24"/>
              </w:rPr>
              <w:t>Completed</w:t>
            </w:r>
          </w:p>
        </w:tc>
      </w:tr>
    </w:tbl>
    <w:p w14:paraId="3F1CEE1C" w14:textId="77777777" w:rsidR="008C7E0B" w:rsidRDefault="008C7E0B" w:rsidP="00AD53DA">
      <w:pPr>
        <w:pStyle w:val="BodyText"/>
        <w:ind w:right="375"/>
      </w:pPr>
    </w:p>
    <w:p w14:paraId="53E77E57" w14:textId="77777777" w:rsidR="00C96A6D" w:rsidRDefault="00C96A6D" w:rsidP="0064396C">
      <w:r>
        <w:t>The asset management improvement plan generated from this asset management plan is shown in table 8.2.2.</w:t>
      </w:r>
    </w:p>
    <w:p w14:paraId="72E6A519" w14:textId="77777777" w:rsidR="00CD74E6" w:rsidRDefault="00CD74E6" w:rsidP="00CD74E6">
      <w:pPr>
        <w:pStyle w:val="BodyText"/>
      </w:pPr>
    </w:p>
    <w:p w14:paraId="15589397" w14:textId="77777777" w:rsidR="007303AB" w:rsidRPr="00CD74E6" w:rsidRDefault="007303AB" w:rsidP="00CD74E6">
      <w:pPr>
        <w:pStyle w:val="BodyText"/>
      </w:pPr>
    </w:p>
    <w:p w14:paraId="0222C3BA" w14:textId="77777777" w:rsidR="00C96A6D" w:rsidRPr="006F08FA" w:rsidRDefault="00C96A6D" w:rsidP="00616E47">
      <w:pPr>
        <w:keepNext/>
        <w:rPr>
          <w:b/>
          <w:iCs/>
          <w:color w:val="0070C0"/>
          <w:szCs w:val="22"/>
        </w:rPr>
      </w:pPr>
      <w:r w:rsidRPr="006F08FA">
        <w:rPr>
          <w:b/>
          <w:iCs/>
          <w:color w:val="0070C0"/>
          <w:szCs w:val="22"/>
        </w:rPr>
        <w:lastRenderedPageBreak/>
        <w:t>Table 8.2.2</w:t>
      </w:r>
      <w:r w:rsidRPr="006F08FA">
        <w:rPr>
          <w:b/>
          <w:iCs/>
          <w:color w:val="0070C0"/>
          <w:szCs w:val="22"/>
        </w:rPr>
        <w:tab/>
        <w:t xml:space="preserve">Improvement Strategy </w:t>
      </w:r>
      <w:r w:rsidR="005133F7" w:rsidRPr="006F08FA">
        <w:rPr>
          <w:b/>
          <w:iCs/>
          <w:color w:val="0070C0"/>
          <w:szCs w:val="22"/>
        </w:rPr>
        <w:t>20</w:t>
      </w:r>
      <w:r w:rsidR="0095086E" w:rsidRPr="006F08FA">
        <w:rPr>
          <w:b/>
          <w:iCs/>
          <w:color w:val="0070C0"/>
          <w:szCs w:val="22"/>
        </w:rPr>
        <w:t>20</w:t>
      </w:r>
      <w:r w:rsidR="005133F7" w:rsidRPr="006F08FA">
        <w:rPr>
          <w:b/>
          <w:iCs/>
          <w:color w:val="0070C0"/>
          <w:szCs w:val="22"/>
        </w:rPr>
        <w:t xml:space="preserve"> </w:t>
      </w:r>
      <w:r w:rsidRPr="006F08FA">
        <w:rPr>
          <w:b/>
          <w:iCs/>
          <w:color w:val="0070C0"/>
          <w:szCs w:val="22"/>
        </w:rPr>
        <w:t xml:space="preserve">to </w:t>
      </w:r>
      <w:r w:rsidR="005133F7" w:rsidRPr="006F08FA">
        <w:rPr>
          <w:b/>
          <w:iCs/>
          <w:color w:val="0070C0"/>
          <w:szCs w:val="22"/>
        </w:rPr>
        <w:t>202</w:t>
      </w:r>
      <w:r w:rsidR="0095086E" w:rsidRPr="006F08FA">
        <w:rPr>
          <w:b/>
          <w:iCs/>
          <w:color w:val="0070C0"/>
          <w:szCs w:val="22"/>
        </w:rPr>
        <w:t>4</w:t>
      </w:r>
    </w:p>
    <w:tbl>
      <w:tblPr>
        <w:tblW w:w="9747" w:type="dxa"/>
        <w:tblLayout w:type="fixed"/>
        <w:tblLook w:val="01E0" w:firstRow="1" w:lastRow="1" w:firstColumn="1" w:lastColumn="1" w:noHBand="0" w:noVBand="0"/>
      </w:tblPr>
      <w:tblGrid>
        <w:gridCol w:w="1242"/>
        <w:gridCol w:w="1701"/>
        <w:gridCol w:w="2268"/>
        <w:gridCol w:w="2835"/>
        <w:gridCol w:w="1701"/>
      </w:tblGrid>
      <w:tr w:rsidR="003D0629" w:rsidRPr="001F30EB" w14:paraId="7C69B15B" w14:textId="77777777" w:rsidTr="00006449">
        <w:trPr>
          <w:cantSplit/>
          <w:trHeight w:val="756"/>
          <w:tblHeader/>
        </w:trPr>
        <w:tc>
          <w:tcPr>
            <w:tcW w:w="1242" w:type="dxa"/>
            <w:tcBorders>
              <w:top w:val="single" w:sz="8" w:space="0" w:color="auto"/>
              <w:left w:val="single" w:sz="8" w:space="0" w:color="auto"/>
              <w:bottom w:val="single" w:sz="18" w:space="0" w:color="auto"/>
              <w:right w:val="single" w:sz="8" w:space="0" w:color="FFFFFF" w:themeColor="background1"/>
            </w:tcBorders>
            <w:shd w:val="clear" w:color="auto" w:fill="4BACC6" w:themeFill="accent5"/>
            <w:vAlign w:val="center"/>
          </w:tcPr>
          <w:p w14:paraId="0ABB6F12" w14:textId="77777777" w:rsidR="003D0629" w:rsidRPr="001F30EB" w:rsidRDefault="003D0629" w:rsidP="006A1785">
            <w:pPr>
              <w:tabs>
                <w:tab w:val="left" w:pos="993"/>
              </w:tabs>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Section</w:t>
            </w:r>
          </w:p>
        </w:tc>
        <w:tc>
          <w:tcPr>
            <w:tcW w:w="1701" w:type="dxa"/>
            <w:tcBorders>
              <w:top w:val="single" w:sz="8" w:space="0" w:color="auto"/>
              <w:left w:val="single" w:sz="8" w:space="0" w:color="FFFFFF" w:themeColor="background1"/>
              <w:bottom w:val="single" w:sz="18" w:space="0" w:color="auto"/>
              <w:right w:val="single" w:sz="8" w:space="0" w:color="FFFFFF" w:themeColor="background1"/>
            </w:tcBorders>
            <w:shd w:val="clear" w:color="auto" w:fill="4BACC6" w:themeFill="accent5"/>
            <w:vAlign w:val="center"/>
          </w:tcPr>
          <w:p w14:paraId="53A0B75E" w14:textId="77777777" w:rsidR="003D0629" w:rsidRPr="001F30EB" w:rsidRDefault="003D0629" w:rsidP="006A1785">
            <w:pPr>
              <w:tabs>
                <w:tab w:val="left" w:pos="1593"/>
              </w:tabs>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Project</w:t>
            </w:r>
          </w:p>
        </w:tc>
        <w:tc>
          <w:tcPr>
            <w:tcW w:w="2268" w:type="dxa"/>
            <w:tcBorders>
              <w:top w:val="single" w:sz="8" w:space="0" w:color="auto"/>
              <w:left w:val="single" w:sz="8" w:space="0" w:color="FFFFFF" w:themeColor="background1"/>
              <w:bottom w:val="single" w:sz="18" w:space="0" w:color="auto"/>
              <w:right w:val="single" w:sz="8" w:space="0" w:color="FFFFFF" w:themeColor="background1"/>
            </w:tcBorders>
            <w:shd w:val="clear" w:color="auto" w:fill="4BACC6" w:themeFill="accent5"/>
            <w:vAlign w:val="center"/>
          </w:tcPr>
          <w:p w14:paraId="57A779F6" w14:textId="77777777" w:rsidR="003D0629" w:rsidRPr="001F30EB" w:rsidRDefault="003D0629" w:rsidP="006A1785">
            <w:pPr>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Responsibility</w:t>
            </w:r>
          </w:p>
        </w:tc>
        <w:tc>
          <w:tcPr>
            <w:tcW w:w="2835" w:type="dxa"/>
            <w:tcBorders>
              <w:top w:val="single" w:sz="8" w:space="0" w:color="auto"/>
              <w:left w:val="single" w:sz="8" w:space="0" w:color="FFFFFF" w:themeColor="background1"/>
              <w:bottom w:val="single" w:sz="18" w:space="0" w:color="auto"/>
              <w:right w:val="single" w:sz="8" w:space="0" w:color="FFFFFF" w:themeColor="background1"/>
            </w:tcBorders>
            <w:shd w:val="clear" w:color="auto" w:fill="4BACC6" w:themeFill="accent5"/>
            <w:vAlign w:val="center"/>
          </w:tcPr>
          <w:p w14:paraId="4EFEC7B4" w14:textId="77777777" w:rsidR="003D0629" w:rsidRPr="001F30EB" w:rsidRDefault="003D0629" w:rsidP="006A1785">
            <w:pPr>
              <w:spacing w:after="0"/>
              <w:jc w:val="center"/>
              <w:rPr>
                <w:rFonts w:ascii="Arial Narrow" w:hAnsi="Arial Narrow" w:cs="Arial"/>
                <w:color w:val="FFFFFF" w:themeColor="background1"/>
                <w:szCs w:val="24"/>
              </w:rPr>
            </w:pPr>
            <w:r w:rsidRPr="001F30EB">
              <w:rPr>
                <w:rFonts w:ascii="Arial Narrow" w:hAnsi="Arial Narrow" w:cs="Arial"/>
                <w:color w:val="FFFFFF" w:themeColor="background1"/>
                <w:szCs w:val="24"/>
              </w:rPr>
              <w:t>Task</w:t>
            </w:r>
          </w:p>
        </w:tc>
        <w:tc>
          <w:tcPr>
            <w:tcW w:w="1701" w:type="dxa"/>
            <w:tcBorders>
              <w:top w:val="single" w:sz="8" w:space="0" w:color="auto"/>
              <w:left w:val="single" w:sz="8" w:space="0" w:color="FFFFFF" w:themeColor="background1"/>
              <w:bottom w:val="single" w:sz="18" w:space="0" w:color="auto"/>
              <w:right w:val="single" w:sz="8" w:space="0" w:color="auto"/>
            </w:tcBorders>
            <w:shd w:val="clear" w:color="auto" w:fill="4BACC6" w:themeFill="accent5"/>
            <w:vAlign w:val="center"/>
          </w:tcPr>
          <w:p w14:paraId="1F402F77" w14:textId="77777777" w:rsidR="003D0629" w:rsidRPr="001F30EB" w:rsidRDefault="003D0629" w:rsidP="006A1785">
            <w:pPr>
              <w:spacing w:after="0"/>
              <w:jc w:val="center"/>
              <w:rPr>
                <w:rFonts w:ascii="Arial Narrow" w:eastAsiaTheme="majorEastAsia" w:hAnsi="Arial Narrow" w:cs="Arial"/>
                <w:bCs/>
                <w:i/>
                <w:iCs/>
                <w:color w:val="FFFFFF" w:themeColor="background1"/>
                <w:szCs w:val="24"/>
              </w:rPr>
            </w:pPr>
            <w:r w:rsidRPr="001F30EB">
              <w:rPr>
                <w:rFonts w:ascii="Arial Narrow" w:hAnsi="Arial Narrow" w:cs="Arial"/>
                <w:color w:val="FFFFFF" w:themeColor="background1"/>
                <w:szCs w:val="24"/>
              </w:rPr>
              <w:t>Timeline</w:t>
            </w:r>
          </w:p>
        </w:tc>
      </w:tr>
      <w:tr w:rsidR="003D0629" w:rsidRPr="001F30EB" w14:paraId="08E01F4F" w14:textId="77777777" w:rsidTr="00006449">
        <w:trPr>
          <w:cantSplit/>
        </w:trPr>
        <w:tc>
          <w:tcPr>
            <w:tcW w:w="1242" w:type="dxa"/>
            <w:tcBorders>
              <w:top w:val="single" w:sz="18" w:space="0" w:color="auto"/>
              <w:left w:val="single" w:sz="8" w:space="0" w:color="auto"/>
              <w:bottom w:val="single" w:sz="8" w:space="0" w:color="FFFFFF" w:themeColor="background1"/>
              <w:right w:val="single" w:sz="8" w:space="0" w:color="FFFFFF" w:themeColor="background1"/>
            </w:tcBorders>
            <w:shd w:val="clear" w:color="auto" w:fill="4BACC6" w:themeFill="accent5"/>
          </w:tcPr>
          <w:p w14:paraId="7DC5FB0C" w14:textId="77777777" w:rsidR="003D0629" w:rsidRPr="00F953F8" w:rsidRDefault="003D0629" w:rsidP="006A1785">
            <w:pPr>
              <w:tabs>
                <w:tab w:val="left" w:pos="993"/>
              </w:tabs>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3.3</w:t>
            </w:r>
          </w:p>
        </w:tc>
        <w:tc>
          <w:tcPr>
            <w:tcW w:w="1701" w:type="dxa"/>
            <w:tcBorders>
              <w:top w:val="single" w:sz="18" w:space="0" w:color="auto"/>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2F3CF977" w14:textId="77777777" w:rsidR="003D0629" w:rsidRPr="001F30EB" w:rsidRDefault="003D0629" w:rsidP="006A1785">
            <w:pPr>
              <w:tabs>
                <w:tab w:val="left" w:pos="1593"/>
              </w:tabs>
              <w:spacing w:before="60" w:after="60"/>
              <w:jc w:val="left"/>
              <w:rPr>
                <w:rFonts w:ascii="Arial Narrow" w:hAnsi="Arial Narrow" w:cs="Arial"/>
                <w:szCs w:val="24"/>
              </w:rPr>
            </w:pPr>
            <w:r w:rsidRPr="001F30EB">
              <w:rPr>
                <w:rFonts w:ascii="Arial Narrow" w:hAnsi="Arial Narrow" w:cs="Arial"/>
                <w:szCs w:val="24"/>
              </w:rPr>
              <w:t>Monitoring performance measures against levels of service targets</w:t>
            </w:r>
          </w:p>
        </w:tc>
        <w:tc>
          <w:tcPr>
            <w:tcW w:w="2268" w:type="dxa"/>
            <w:tcBorders>
              <w:top w:val="single" w:sz="18" w:space="0" w:color="auto"/>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513B18AE" w14:textId="77777777" w:rsidR="003D0629" w:rsidRPr="001F30EB" w:rsidRDefault="00CB76F8">
            <w:pPr>
              <w:spacing w:before="60" w:after="60"/>
              <w:jc w:val="center"/>
              <w:rPr>
                <w:rFonts w:ascii="Arial Narrow" w:hAnsi="Arial Narrow" w:cs="Arial"/>
                <w:szCs w:val="24"/>
              </w:rPr>
            </w:pPr>
            <w:r>
              <w:rPr>
                <w:rFonts w:ascii="Arial Narrow" w:hAnsi="Arial Narrow" w:cs="Arial"/>
                <w:szCs w:val="24"/>
              </w:rPr>
              <w:t xml:space="preserve">Project &amp; </w:t>
            </w:r>
            <w:r w:rsidR="003D0629" w:rsidRPr="001F30EB">
              <w:rPr>
                <w:rFonts w:ascii="Arial Narrow" w:hAnsi="Arial Narrow" w:cs="Arial"/>
                <w:szCs w:val="24"/>
              </w:rPr>
              <w:t>Asset Services</w:t>
            </w:r>
            <w:r>
              <w:rPr>
                <w:rFonts w:ascii="Arial Narrow" w:hAnsi="Arial Narrow" w:cs="Arial"/>
                <w:szCs w:val="24"/>
              </w:rPr>
              <w:t>,</w:t>
            </w:r>
            <w:r w:rsidR="003D0629" w:rsidRPr="001F30EB">
              <w:rPr>
                <w:rFonts w:ascii="Arial Narrow" w:hAnsi="Arial Narrow" w:cs="Arial"/>
                <w:szCs w:val="24"/>
              </w:rPr>
              <w:t xml:space="preserve"> Business Systems</w:t>
            </w:r>
          </w:p>
        </w:tc>
        <w:tc>
          <w:tcPr>
            <w:tcW w:w="2835" w:type="dxa"/>
            <w:tcBorders>
              <w:top w:val="single" w:sz="18" w:space="0" w:color="auto"/>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632EABDE" w14:textId="77777777" w:rsidR="003D0629" w:rsidRDefault="003D0629" w:rsidP="00375695">
            <w:pPr>
              <w:pStyle w:val="ListParagraph"/>
              <w:numPr>
                <w:ilvl w:val="0"/>
                <w:numId w:val="4"/>
              </w:numPr>
              <w:spacing w:before="60" w:after="60"/>
              <w:ind w:left="283"/>
              <w:jc w:val="left"/>
              <w:rPr>
                <w:rFonts w:ascii="Arial Narrow" w:hAnsi="Arial Narrow" w:cs="Arial"/>
                <w:szCs w:val="24"/>
              </w:rPr>
            </w:pPr>
            <w:r w:rsidRPr="001F30EB">
              <w:rPr>
                <w:rFonts w:ascii="Arial Narrow" w:hAnsi="Arial Narrow" w:cs="Arial"/>
                <w:szCs w:val="24"/>
              </w:rPr>
              <w:t>Link budget allocation to desired levels of service</w:t>
            </w:r>
          </w:p>
          <w:p w14:paraId="108449A1" w14:textId="77777777" w:rsidR="00437548" w:rsidRPr="001F30EB" w:rsidRDefault="00437548" w:rsidP="00375695">
            <w:pPr>
              <w:pStyle w:val="ListParagraph"/>
              <w:numPr>
                <w:ilvl w:val="0"/>
                <w:numId w:val="4"/>
              </w:numPr>
              <w:spacing w:before="60" w:after="60"/>
              <w:ind w:left="283"/>
              <w:jc w:val="left"/>
              <w:rPr>
                <w:rFonts w:ascii="Arial Narrow" w:hAnsi="Arial Narrow" w:cs="Arial"/>
                <w:szCs w:val="24"/>
              </w:rPr>
            </w:pPr>
            <w:r>
              <w:rPr>
                <w:rFonts w:ascii="Arial Narrow" w:hAnsi="Arial Narrow" w:cs="Arial"/>
                <w:szCs w:val="24"/>
              </w:rPr>
              <w:t>Service Level Analysis workshops to review service delivery</w:t>
            </w:r>
          </w:p>
        </w:tc>
        <w:tc>
          <w:tcPr>
            <w:tcW w:w="1701" w:type="dxa"/>
            <w:tcBorders>
              <w:top w:val="single" w:sz="18" w:space="0" w:color="auto"/>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3E096122" w14:textId="77777777" w:rsidR="003D0629" w:rsidRPr="001F30EB" w:rsidRDefault="00841F2F" w:rsidP="006A1785">
            <w:pPr>
              <w:pStyle w:val="ListParagraph"/>
              <w:spacing w:before="60" w:after="60"/>
              <w:ind w:left="0"/>
              <w:jc w:val="center"/>
              <w:rPr>
                <w:rFonts w:ascii="Arial Narrow" w:hAnsi="Arial Narrow" w:cs="Arial"/>
                <w:szCs w:val="24"/>
              </w:rPr>
            </w:pPr>
            <w:r>
              <w:rPr>
                <w:rFonts w:ascii="Arial Narrow" w:hAnsi="Arial Narrow" w:cs="Arial"/>
                <w:szCs w:val="24"/>
              </w:rPr>
              <w:t>22/23</w:t>
            </w:r>
          </w:p>
        </w:tc>
      </w:tr>
      <w:tr w:rsidR="003D0629" w:rsidRPr="001F30EB" w14:paraId="53555349" w14:textId="77777777" w:rsidTr="00006449">
        <w:trPr>
          <w:cantSplit/>
        </w:trPr>
        <w:tc>
          <w:tcPr>
            <w:tcW w:w="1242"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4BACC6" w:themeFill="accent5"/>
          </w:tcPr>
          <w:p w14:paraId="191DD7E4" w14:textId="77777777" w:rsidR="003D0629" w:rsidRPr="00F953F8" w:rsidRDefault="003D0629" w:rsidP="006A1785">
            <w:pPr>
              <w:tabs>
                <w:tab w:val="left" w:pos="993"/>
              </w:tabs>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5.1</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28F01687" w14:textId="77777777" w:rsidR="003D0629" w:rsidRPr="001F30EB" w:rsidRDefault="003D0629" w:rsidP="006A1785">
            <w:pPr>
              <w:tabs>
                <w:tab w:val="left" w:pos="1593"/>
              </w:tabs>
              <w:spacing w:before="60" w:after="60"/>
              <w:jc w:val="left"/>
              <w:rPr>
                <w:rFonts w:ascii="Arial Narrow" w:hAnsi="Arial Narrow" w:cs="Arial"/>
                <w:szCs w:val="24"/>
              </w:rPr>
            </w:pPr>
            <w:r w:rsidRPr="001F30EB">
              <w:rPr>
                <w:rFonts w:ascii="Arial Narrow" w:hAnsi="Arial Narrow" w:cs="Arial"/>
                <w:szCs w:val="24"/>
              </w:rPr>
              <w:t>Footpath Categorisation</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1D9D0493" w14:textId="77777777" w:rsidR="00002CBA" w:rsidRPr="00002CBA" w:rsidRDefault="0039320F" w:rsidP="00002CBA">
            <w:pPr>
              <w:spacing w:before="60" w:after="60"/>
              <w:jc w:val="center"/>
              <w:rPr>
                <w:rFonts w:ascii="Arial Narrow" w:hAnsi="Arial Narrow" w:cs="Arial"/>
                <w:szCs w:val="24"/>
              </w:rPr>
            </w:pPr>
            <w:r>
              <w:rPr>
                <w:rFonts w:ascii="Arial Narrow" w:hAnsi="Arial Narrow" w:cs="Arial"/>
                <w:szCs w:val="24"/>
              </w:rPr>
              <w:t xml:space="preserve">Project &amp; </w:t>
            </w:r>
            <w:r w:rsidR="003D0629" w:rsidRPr="001F30EB">
              <w:rPr>
                <w:rFonts w:ascii="Arial Narrow" w:hAnsi="Arial Narrow" w:cs="Arial"/>
                <w:szCs w:val="24"/>
              </w:rPr>
              <w:t>Asset Services</w:t>
            </w:r>
            <w:r w:rsidR="00002CBA">
              <w:rPr>
                <w:rFonts w:ascii="Arial Narrow" w:hAnsi="Arial Narrow" w:cs="Arial"/>
                <w:szCs w:val="24"/>
              </w:rPr>
              <w:t>, Road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2BC5327A" w14:textId="77777777" w:rsidR="003D0629" w:rsidRPr="001F30EB" w:rsidRDefault="00C96A6D"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Hierarchy to be applied from a risk perspective to prioritise renewals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472E3934" w14:textId="77777777" w:rsidR="003D0629" w:rsidRPr="001F30EB" w:rsidRDefault="00841F2F" w:rsidP="006A1785">
            <w:pPr>
              <w:pStyle w:val="ListParagraph"/>
              <w:spacing w:before="60" w:after="60"/>
              <w:ind w:left="0"/>
              <w:jc w:val="center"/>
              <w:rPr>
                <w:rFonts w:ascii="Arial Narrow" w:hAnsi="Arial Narrow" w:cs="Arial"/>
                <w:szCs w:val="24"/>
              </w:rPr>
            </w:pPr>
            <w:r>
              <w:rPr>
                <w:rFonts w:ascii="Arial Narrow" w:hAnsi="Arial Narrow" w:cs="Arial"/>
                <w:szCs w:val="24"/>
              </w:rPr>
              <w:t>21/22</w:t>
            </w:r>
          </w:p>
        </w:tc>
      </w:tr>
      <w:tr w:rsidR="003D0629" w:rsidRPr="001F30EB" w14:paraId="713F2E39" w14:textId="77777777" w:rsidTr="00006449">
        <w:trPr>
          <w:cantSplit/>
        </w:trPr>
        <w:tc>
          <w:tcPr>
            <w:tcW w:w="1242"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4BACC6" w:themeFill="accent5"/>
          </w:tcPr>
          <w:p w14:paraId="0B68F7BB" w14:textId="77777777" w:rsidR="003D0629" w:rsidRPr="00F953F8" w:rsidRDefault="003D0629" w:rsidP="006A1785">
            <w:pPr>
              <w:tabs>
                <w:tab w:val="left" w:pos="993"/>
              </w:tabs>
              <w:spacing w:before="60" w:after="60"/>
              <w:jc w:val="center"/>
              <w:rPr>
                <w:rFonts w:ascii="Arial Narrow" w:hAnsi="Arial Narrow" w:cs="Arial"/>
                <w:color w:val="FFFFFF" w:themeColor="background1"/>
                <w:szCs w:val="24"/>
              </w:rPr>
            </w:pPr>
            <w:r w:rsidRPr="00F953F8">
              <w:rPr>
                <w:rFonts w:ascii="Arial Narrow" w:hAnsi="Arial Narrow" w:cs="Arial"/>
                <w:color w:val="FFFFFF" w:themeColor="background1"/>
                <w:szCs w:val="24"/>
              </w:rPr>
              <w:t>5.1</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54F47D1A" w14:textId="77777777" w:rsidR="003D0629" w:rsidRPr="001F30EB" w:rsidRDefault="003D0629" w:rsidP="006A1785">
            <w:pPr>
              <w:tabs>
                <w:tab w:val="left" w:pos="1593"/>
              </w:tabs>
              <w:spacing w:before="60" w:after="60"/>
              <w:jc w:val="left"/>
              <w:rPr>
                <w:rFonts w:ascii="Arial Narrow" w:hAnsi="Arial Narrow" w:cs="Arial"/>
                <w:szCs w:val="24"/>
              </w:rPr>
            </w:pPr>
            <w:r w:rsidRPr="001F30EB">
              <w:rPr>
                <w:rFonts w:ascii="Arial Narrow" w:hAnsi="Arial Narrow" w:cs="Arial"/>
                <w:szCs w:val="24"/>
              </w:rPr>
              <w:t>Clarification of asset ownership (</w:t>
            </w:r>
            <w:proofErr w:type="spellStart"/>
            <w:r w:rsidRPr="001F30EB">
              <w:rPr>
                <w:rFonts w:ascii="Arial Narrow" w:hAnsi="Arial Narrow" w:cs="Arial"/>
                <w:szCs w:val="24"/>
              </w:rPr>
              <w:t>eg.</w:t>
            </w:r>
            <w:proofErr w:type="spellEnd"/>
            <w:r w:rsidRPr="001F30EB">
              <w:rPr>
                <w:rFonts w:ascii="Arial Narrow" w:hAnsi="Arial Narrow" w:cs="Arial"/>
                <w:szCs w:val="24"/>
              </w:rPr>
              <w:t xml:space="preserve"> car parks, footpaths, lighting)</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427022D1" w14:textId="77777777" w:rsidR="003D0629" w:rsidRPr="001F30EB" w:rsidRDefault="0039320F" w:rsidP="006A1785">
            <w:pPr>
              <w:spacing w:before="60" w:after="60"/>
              <w:jc w:val="center"/>
              <w:rPr>
                <w:rFonts w:ascii="Arial Narrow" w:hAnsi="Arial Narrow" w:cs="Arial"/>
                <w:szCs w:val="24"/>
              </w:rPr>
            </w:pPr>
            <w:r>
              <w:rPr>
                <w:rFonts w:ascii="Arial Narrow" w:hAnsi="Arial Narrow" w:cs="Arial"/>
                <w:szCs w:val="24"/>
              </w:rPr>
              <w:t xml:space="preserve">Project &amp; </w:t>
            </w:r>
            <w:r w:rsidR="003D0629" w:rsidRPr="001F30EB">
              <w:rPr>
                <w:rFonts w:ascii="Arial Narrow" w:hAnsi="Arial Narrow" w:cs="Arial"/>
                <w:szCs w:val="24"/>
              </w:rPr>
              <w:t>Asset Services</w:t>
            </w:r>
            <w:r w:rsidR="00EE14AC" w:rsidRPr="00EE14AC">
              <w:rPr>
                <w:rFonts w:ascii="Arial Narrow" w:hAnsi="Arial Narrow" w:cs="Arial"/>
                <w:szCs w:val="24"/>
              </w:rPr>
              <w:t>, Road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62F473A1" w14:textId="77777777" w:rsidR="003D0629" w:rsidRPr="001F30EB" w:rsidRDefault="003D0629" w:rsidP="00375695">
            <w:pPr>
              <w:pStyle w:val="ListParagraph"/>
              <w:numPr>
                <w:ilvl w:val="0"/>
                <w:numId w:val="4"/>
              </w:numPr>
              <w:spacing w:before="60" w:after="60"/>
              <w:ind w:left="283"/>
              <w:jc w:val="left"/>
              <w:rPr>
                <w:rFonts w:ascii="Arial Narrow" w:hAnsi="Arial Narrow" w:cs="Arial"/>
                <w:szCs w:val="24"/>
              </w:rPr>
            </w:pPr>
            <w:r>
              <w:rPr>
                <w:rFonts w:ascii="Arial Narrow" w:hAnsi="Arial Narrow" w:cs="Arial"/>
                <w:szCs w:val="24"/>
              </w:rPr>
              <w:t>As part of the integration between T</w:t>
            </w:r>
            <w:r w:rsidR="00CD74E6">
              <w:rPr>
                <w:rFonts w:ascii="Arial Narrow" w:hAnsi="Arial Narrow" w:cs="Arial"/>
                <w:szCs w:val="24"/>
              </w:rPr>
              <w:t xml:space="preserve">ech One and </w:t>
            </w:r>
            <w:proofErr w:type="spellStart"/>
            <w:r w:rsidR="00CD74E6">
              <w:rPr>
                <w:rFonts w:ascii="Arial Narrow" w:hAnsi="Arial Narrow" w:cs="Arial"/>
                <w:szCs w:val="24"/>
              </w:rPr>
              <w:t>I</w:t>
            </w:r>
            <w:r>
              <w:rPr>
                <w:rFonts w:ascii="Arial Narrow" w:hAnsi="Arial Narrow" w:cs="Arial"/>
                <w:szCs w:val="24"/>
              </w:rPr>
              <w:t>ntramaps</w:t>
            </w:r>
            <w:proofErr w:type="spellEnd"/>
            <w:r>
              <w:rPr>
                <w:rFonts w:ascii="Arial Narrow" w:hAnsi="Arial Narrow" w:cs="Arial"/>
                <w:szCs w:val="24"/>
              </w:rPr>
              <w:t xml:space="preserve"> cl</w:t>
            </w:r>
            <w:r w:rsidRPr="001F30EB">
              <w:rPr>
                <w:rFonts w:ascii="Arial Narrow" w:hAnsi="Arial Narrow" w:cs="Arial"/>
                <w:szCs w:val="24"/>
              </w:rPr>
              <w:t>early define a single point of responsibility for each asset classification</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5704E12C" w14:textId="77777777" w:rsidR="003D0629" w:rsidRPr="001F30EB" w:rsidRDefault="00841F2F" w:rsidP="00437548">
            <w:pPr>
              <w:pStyle w:val="ListParagraph"/>
              <w:spacing w:before="60" w:after="60"/>
              <w:ind w:left="0"/>
              <w:jc w:val="center"/>
              <w:rPr>
                <w:rFonts w:ascii="Arial Narrow" w:hAnsi="Arial Narrow" w:cs="Arial"/>
                <w:szCs w:val="24"/>
              </w:rPr>
            </w:pPr>
            <w:r>
              <w:rPr>
                <w:rFonts w:ascii="Arial Narrow" w:hAnsi="Arial Narrow" w:cs="Arial"/>
                <w:szCs w:val="24"/>
              </w:rPr>
              <w:t>21/22</w:t>
            </w:r>
          </w:p>
        </w:tc>
      </w:tr>
      <w:tr w:rsidR="00A874AE" w:rsidRPr="001F30EB" w14:paraId="4ED23C93" w14:textId="77777777" w:rsidTr="00006449">
        <w:trPr>
          <w:cantSplit/>
        </w:trPr>
        <w:tc>
          <w:tcPr>
            <w:tcW w:w="1242"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4BACC6" w:themeFill="accent5"/>
          </w:tcPr>
          <w:p w14:paraId="1FDD275C" w14:textId="77777777" w:rsidR="00A874AE" w:rsidRPr="00F953F8" w:rsidRDefault="00A874AE" w:rsidP="006A1785">
            <w:pPr>
              <w:tabs>
                <w:tab w:val="left" w:pos="993"/>
              </w:tabs>
              <w:spacing w:before="60" w:after="60"/>
              <w:jc w:val="center"/>
              <w:rPr>
                <w:rFonts w:ascii="Arial Narrow" w:hAnsi="Arial Narrow" w:cs="Arial"/>
                <w:color w:val="FFFFFF" w:themeColor="background1"/>
                <w:szCs w:val="24"/>
              </w:rPr>
            </w:pPr>
            <w:r>
              <w:rPr>
                <w:rFonts w:ascii="Arial Narrow" w:hAnsi="Arial Narrow" w:cs="Arial"/>
                <w:color w:val="FFFFFF" w:themeColor="background1"/>
                <w:szCs w:val="24"/>
              </w:rPr>
              <w:t>5.3</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023BC892" w14:textId="77777777" w:rsidR="00A874AE" w:rsidRPr="001F30EB" w:rsidRDefault="00AE5FB6" w:rsidP="00270A51">
            <w:pPr>
              <w:tabs>
                <w:tab w:val="left" w:pos="1593"/>
              </w:tabs>
              <w:spacing w:before="60" w:after="60"/>
              <w:jc w:val="left"/>
              <w:rPr>
                <w:rFonts w:ascii="Arial Narrow" w:hAnsi="Arial Narrow" w:cs="Arial"/>
                <w:szCs w:val="24"/>
              </w:rPr>
            </w:pPr>
            <w:r w:rsidRPr="00270A51">
              <w:rPr>
                <w:rFonts w:ascii="Arial Narrow" w:hAnsi="Arial Narrow" w:cs="Arial"/>
                <w:szCs w:val="24"/>
              </w:rPr>
              <w:t>Internally reassess t</w:t>
            </w:r>
            <w:r w:rsidR="00A874AE" w:rsidRPr="00270A51">
              <w:rPr>
                <w:rFonts w:ascii="Arial Narrow" w:hAnsi="Arial Narrow" w:cs="Arial"/>
                <w:szCs w:val="24"/>
              </w:rPr>
              <w:t xml:space="preserve">he higher risk rated </w:t>
            </w:r>
            <w:r w:rsidR="000330C1">
              <w:rPr>
                <w:rFonts w:ascii="Arial Narrow" w:hAnsi="Arial Narrow" w:cs="Arial"/>
                <w:szCs w:val="24"/>
              </w:rPr>
              <w:t>footpath assets</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4A8A3BD7" w14:textId="77777777" w:rsidR="00A874AE" w:rsidRDefault="0011198D" w:rsidP="006A1785">
            <w:pPr>
              <w:spacing w:before="60" w:after="60"/>
              <w:jc w:val="center"/>
              <w:rPr>
                <w:rFonts w:ascii="Arial Narrow" w:hAnsi="Arial Narrow" w:cs="Arial"/>
                <w:szCs w:val="24"/>
              </w:rPr>
            </w:pPr>
            <w:r>
              <w:rPr>
                <w:rFonts w:ascii="Arial Narrow" w:hAnsi="Arial Narrow" w:cs="Arial"/>
                <w:szCs w:val="24"/>
              </w:rPr>
              <w:t xml:space="preserve">Project &amp; </w:t>
            </w:r>
            <w:r w:rsidRPr="001F30EB">
              <w:rPr>
                <w:rFonts w:ascii="Arial Narrow" w:hAnsi="Arial Narrow" w:cs="Arial"/>
                <w:szCs w:val="24"/>
              </w:rPr>
              <w:t>Asset Services</w:t>
            </w:r>
            <w:r w:rsidR="00EE14AC" w:rsidRPr="00EE14AC">
              <w:rPr>
                <w:rFonts w:ascii="Arial Narrow" w:hAnsi="Arial Narrow" w:cs="Arial"/>
                <w:szCs w:val="24"/>
              </w:rPr>
              <w:t>, Road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hemeFill="accent5" w:themeFillTint="66"/>
          </w:tcPr>
          <w:p w14:paraId="342686CB" w14:textId="77777777" w:rsidR="00A874AE" w:rsidRDefault="006C05E4" w:rsidP="00375695">
            <w:pPr>
              <w:pStyle w:val="ListParagraph"/>
              <w:numPr>
                <w:ilvl w:val="0"/>
                <w:numId w:val="4"/>
              </w:numPr>
              <w:spacing w:before="60" w:after="60"/>
              <w:ind w:left="283"/>
              <w:jc w:val="left"/>
              <w:rPr>
                <w:rFonts w:ascii="Arial Narrow" w:hAnsi="Arial Narrow" w:cs="Arial"/>
                <w:szCs w:val="24"/>
              </w:rPr>
            </w:pPr>
            <w:r>
              <w:rPr>
                <w:rFonts w:ascii="Arial Narrow" w:hAnsi="Arial Narrow" w:cs="Arial"/>
                <w:szCs w:val="24"/>
              </w:rPr>
              <w:t>Reassess the condition 4 &amp; 5 rated footpath</w:t>
            </w:r>
            <w:r w:rsidR="0068633D">
              <w:rPr>
                <w:rFonts w:ascii="Arial Narrow" w:hAnsi="Arial Narrow" w:cs="Arial"/>
                <w:szCs w:val="24"/>
              </w:rPr>
              <w:t xml:space="preserve"> to form the list of projects for next 2 – 3 years</w:t>
            </w:r>
          </w:p>
          <w:p w14:paraId="450DE280" w14:textId="77777777" w:rsidR="006C05E4" w:rsidRDefault="006C05E4" w:rsidP="00214EE9">
            <w:pPr>
              <w:pStyle w:val="ListParagraph"/>
              <w:spacing w:before="60" w:after="60"/>
              <w:ind w:left="283"/>
              <w:jc w:val="left"/>
              <w:rPr>
                <w:rFonts w:ascii="Arial Narrow" w:hAnsi="Arial Narrow" w:cs="Arial"/>
                <w:szCs w:val="24"/>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B6DDE8" w:themeFill="accent5" w:themeFillTint="66"/>
            <w:vAlign w:val="center"/>
          </w:tcPr>
          <w:p w14:paraId="40B730A7" w14:textId="77777777" w:rsidR="00A874AE" w:rsidRDefault="00006449" w:rsidP="00437548">
            <w:pPr>
              <w:pStyle w:val="ListParagraph"/>
              <w:spacing w:before="60" w:after="60"/>
              <w:ind w:left="0"/>
              <w:jc w:val="center"/>
              <w:rPr>
                <w:rFonts w:ascii="Arial Narrow" w:hAnsi="Arial Narrow" w:cs="Arial"/>
                <w:szCs w:val="24"/>
              </w:rPr>
            </w:pPr>
            <w:r>
              <w:rPr>
                <w:rFonts w:ascii="Arial Narrow" w:hAnsi="Arial Narrow" w:cs="Arial"/>
                <w:szCs w:val="24"/>
              </w:rPr>
              <w:t>22/23</w:t>
            </w:r>
          </w:p>
        </w:tc>
      </w:tr>
      <w:tr w:rsidR="00BD6B9B" w:rsidRPr="001F30EB" w14:paraId="53600FE4" w14:textId="77777777" w:rsidTr="00006449">
        <w:trPr>
          <w:cantSplit/>
        </w:trPr>
        <w:tc>
          <w:tcPr>
            <w:tcW w:w="1242"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4BACC6" w:themeFill="accent5"/>
          </w:tcPr>
          <w:p w14:paraId="726ABF4C" w14:textId="77777777" w:rsidR="00BD6B9B" w:rsidRPr="00F953F8" w:rsidRDefault="00BD6B9B" w:rsidP="006A1785">
            <w:pPr>
              <w:tabs>
                <w:tab w:val="left" w:pos="993"/>
              </w:tabs>
              <w:spacing w:before="60" w:after="60"/>
              <w:jc w:val="center"/>
              <w:rPr>
                <w:rFonts w:ascii="Arial Narrow" w:hAnsi="Arial Narrow" w:cs="Arial"/>
                <w:color w:val="FFFFFF" w:themeColor="background1"/>
                <w:szCs w:val="24"/>
              </w:rPr>
            </w:pPr>
            <w:r>
              <w:rPr>
                <w:rFonts w:ascii="Arial Narrow" w:hAnsi="Arial Narrow" w:cs="Arial"/>
                <w:color w:val="FFFFFF" w:themeColor="background1"/>
                <w:szCs w:val="24"/>
              </w:rPr>
              <w:t>5.4</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0439B608" w14:textId="77777777" w:rsidR="00BD6B9B" w:rsidRDefault="00BD6B9B" w:rsidP="006A1785">
            <w:pPr>
              <w:tabs>
                <w:tab w:val="left" w:pos="1593"/>
              </w:tabs>
              <w:spacing w:before="60" w:after="60"/>
              <w:jc w:val="left"/>
              <w:rPr>
                <w:rFonts w:ascii="Arial Narrow" w:hAnsi="Arial Narrow" w:cs="Arial"/>
                <w:szCs w:val="24"/>
              </w:rPr>
            </w:pPr>
            <w:r>
              <w:rPr>
                <w:rFonts w:ascii="Arial Narrow" w:hAnsi="Arial Narrow" w:cs="Arial"/>
                <w:szCs w:val="24"/>
              </w:rPr>
              <w:t>Review 2016 Bike Plan</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35090847" w14:textId="77777777" w:rsidR="00BD6B9B" w:rsidRPr="001F30EB" w:rsidRDefault="009B1AB0">
            <w:pPr>
              <w:spacing w:before="60" w:after="60"/>
              <w:jc w:val="center"/>
              <w:rPr>
                <w:rFonts w:ascii="Arial Narrow" w:hAnsi="Arial Narrow" w:cs="Arial"/>
                <w:szCs w:val="24"/>
              </w:rPr>
            </w:pPr>
            <w:r>
              <w:rPr>
                <w:rFonts w:ascii="Arial Narrow" w:hAnsi="Arial Narrow" w:cs="Arial"/>
                <w:szCs w:val="24"/>
              </w:rPr>
              <w:t xml:space="preserve">Road Planning &amp; Development </w:t>
            </w:r>
            <w:r w:rsidR="00BD6B9B">
              <w:rPr>
                <w:rFonts w:ascii="Arial Narrow" w:hAnsi="Arial Narrow" w:cs="Arial"/>
                <w:szCs w:val="24"/>
              </w:rPr>
              <w:t xml:space="preserve">Services, Project </w:t>
            </w:r>
            <w:r w:rsidR="004810E8">
              <w:rPr>
                <w:rFonts w:ascii="Arial Narrow" w:hAnsi="Arial Narrow" w:cs="Arial"/>
                <w:szCs w:val="24"/>
              </w:rPr>
              <w:t>&amp;</w:t>
            </w:r>
            <w:r w:rsidR="00BD6B9B">
              <w:rPr>
                <w:rFonts w:ascii="Arial Narrow" w:hAnsi="Arial Narrow" w:cs="Arial"/>
                <w:szCs w:val="24"/>
              </w:rPr>
              <w:t xml:space="preserve"> Asset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hemeFill="accent5" w:themeFillTint="33"/>
          </w:tcPr>
          <w:p w14:paraId="368F6E8D" w14:textId="77777777" w:rsidR="00BD6B9B" w:rsidRDefault="00BD6B9B"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Update project status and priorities, estimate project cost</w:t>
            </w:r>
          </w:p>
          <w:p w14:paraId="3790DA22" w14:textId="77777777" w:rsidR="002641B4" w:rsidRDefault="002641B4"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DoT has developed a working group identifying frequently used footpaths and cycle paths outcomes to be used in future versions of FAMP</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DAEEF3" w:themeFill="accent5" w:themeFillTint="33"/>
            <w:vAlign w:val="center"/>
          </w:tcPr>
          <w:p w14:paraId="4B0D2C0F" w14:textId="77777777" w:rsidR="00BD6B9B" w:rsidRDefault="00E92EA2" w:rsidP="006A1785">
            <w:pPr>
              <w:pStyle w:val="ListParagraph"/>
              <w:spacing w:before="60" w:after="60"/>
              <w:ind w:left="0"/>
              <w:jc w:val="center"/>
              <w:rPr>
                <w:rFonts w:ascii="Arial Narrow" w:hAnsi="Arial Narrow" w:cs="Arial"/>
                <w:szCs w:val="24"/>
              </w:rPr>
            </w:pPr>
            <w:r>
              <w:rPr>
                <w:rFonts w:ascii="Arial Narrow" w:hAnsi="Arial Narrow" w:cs="Arial"/>
                <w:szCs w:val="24"/>
              </w:rPr>
              <w:t>22/23</w:t>
            </w:r>
          </w:p>
        </w:tc>
      </w:tr>
      <w:tr w:rsidR="007303AB" w:rsidRPr="001F30EB" w14:paraId="4B1D315A" w14:textId="77777777" w:rsidTr="00006449">
        <w:trPr>
          <w:cantSplit/>
          <w:trHeight w:val="942"/>
        </w:trPr>
        <w:tc>
          <w:tcPr>
            <w:tcW w:w="1242" w:type="dxa"/>
            <w:tcBorders>
              <w:top w:val="single" w:sz="8" w:space="0" w:color="FFFFFF" w:themeColor="background1"/>
              <w:left w:val="single" w:sz="8" w:space="0" w:color="auto"/>
              <w:bottom w:val="single" w:sz="8" w:space="0" w:color="auto"/>
              <w:right w:val="single" w:sz="8" w:space="0" w:color="FFFFFF" w:themeColor="background1"/>
            </w:tcBorders>
            <w:shd w:val="clear" w:color="auto" w:fill="4BACC6" w:themeFill="accent5"/>
          </w:tcPr>
          <w:p w14:paraId="274E92DE" w14:textId="77777777" w:rsidR="007303AB" w:rsidRDefault="007303AB" w:rsidP="006A1785">
            <w:pPr>
              <w:tabs>
                <w:tab w:val="left" w:pos="993"/>
              </w:tabs>
              <w:spacing w:before="60" w:after="60"/>
              <w:jc w:val="center"/>
              <w:rPr>
                <w:rFonts w:ascii="Arial Narrow" w:hAnsi="Arial Narrow" w:cs="Arial"/>
                <w:color w:val="FFFFFF" w:themeColor="background1"/>
                <w:szCs w:val="24"/>
              </w:rPr>
            </w:pPr>
            <w:r>
              <w:rPr>
                <w:rFonts w:ascii="Arial Narrow" w:hAnsi="Arial Narrow" w:cs="Arial"/>
                <w:color w:val="FFFFFF" w:themeColor="background1"/>
                <w:szCs w:val="24"/>
              </w:rPr>
              <w:t>6.1</w:t>
            </w:r>
          </w:p>
        </w:tc>
        <w:tc>
          <w:tcPr>
            <w:tcW w:w="1701"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B6DDE8" w:themeFill="accent5" w:themeFillTint="66"/>
          </w:tcPr>
          <w:p w14:paraId="0C651DDA" w14:textId="77777777" w:rsidR="007303AB" w:rsidRDefault="007303AB" w:rsidP="006A1785">
            <w:pPr>
              <w:tabs>
                <w:tab w:val="left" w:pos="1593"/>
              </w:tabs>
              <w:spacing w:before="60" w:after="60"/>
              <w:jc w:val="left"/>
              <w:rPr>
                <w:rFonts w:ascii="Arial Narrow" w:hAnsi="Arial Narrow" w:cs="Arial"/>
                <w:szCs w:val="24"/>
              </w:rPr>
            </w:pPr>
            <w:r>
              <w:rPr>
                <w:rFonts w:ascii="Arial Narrow" w:hAnsi="Arial Narrow" w:cs="Arial"/>
                <w:szCs w:val="24"/>
              </w:rPr>
              <w:t>Financial Statements</w:t>
            </w:r>
          </w:p>
        </w:tc>
        <w:tc>
          <w:tcPr>
            <w:tcW w:w="2268"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B6DDE8" w:themeFill="accent5" w:themeFillTint="66"/>
          </w:tcPr>
          <w:p w14:paraId="1E36E773" w14:textId="77777777" w:rsidR="007303AB" w:rsidRDefault="007303AB" w:rsidP="007303AB">
            <w:pPr>
              <w:spacing w:before="60" w:after="60"/>
              <w:jc w:val="center"/>
              <w:rPr>
                <w:rFonts w:ascii="Arial Narrow" w:hAnsi="Arial Narrow" w:cs="Arial"/>
                <w:szCs w:val="24"/>
              </w:rPr>
            </w:pPr>
            <w:r>
              <w:rPr>
                <w:rFonts w:ascii="Arial Narrow" w:hAnsi="Arial Narrow" w:cs="Arial"/>
                <w:szCs w:val="24"/>
              </w:rPr>
              <w:t>Operations &amp; Maintenance</w:t>
            </w:r>
            <w:r w:rsidR="00EE27AC">
              <w:rPr>
                <w:rFonts w:ascii="Arial Narrow" w:hAnsi="Arial Narrow" w:cs="Arial"/>
                <w:szCs w:val="24"/>
              </w:rPr>
              <w:t xml:space="preserve">, </w:t>
            </w:r>
            <w:r w:rsidRPr="007303AB">
              <w:rPr>
                <w:rFonts w:ascii="Arial Narrow" w:hAnsi="Arial Narrow" w:cs="Arial"/>
                <w:szCs w:val="24"/>
              </w:rPr>
              <w:t>Asset Services</w:t>
            </w:r>
          </w:p>
        </w:tc>
        <w:tc>
          <w:tcPr>
            <w:tcW w:w="283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B6DDE8" w:themeFill="accent5" w:themeFillTint="66"/>
          </w:tcPr>
          <w:p w14:paraId="3B59E38B" w14:textId="77777777" w:rsidR="007303AB" w:rsidRDefault="00EE27AC" w:rsidP="00375695">
            <w:pPr>
              <w:pStyle w:val="ListParagraph"/>
              <w:numPr>
                <w:ilvl w:val="0"/>
                <w:numId w:val="6"/>
              </w:numPr>
              <w:spacing w:before="60" w:after="60"/>
              <w:ind w:left="283"/>
              <w:jc w:val="left"/>
              <w:rPr>
                <w:rFonts w:ascii="Arial Narrow" w:hAnsi="Arial Narrow" w:cs="Arial"/>
                <w:szCs w:val="24"/>
              </w:rPr>
            </w:pPr>
            <w:r>
              <w:rPr>
                <w:rFonts w:ascii="Arial Narrow" w:hAnsi="Arial Narrow" w:cs="Arial"/>
                <w:szCs w:val="24"/>
              </w:rPr>
              <w:t>Establish true unit rates based on footpath construction to increase accuracy of the CRC and improve renewal modelling</w:t>
            </w:r>
          </w:p>
        </w:tc>
        <w:tc>
          <w:tcPr>
            <w:tcW w:w="1701" w:type="dxa"/>
            <w:tcBorders>
              <w:top w:val="single" w:sz="8" w:space="0" w:color="FFFFFF" w:themeColor="background1"/>
              <w:left w:val="single" w:sz="8" w:space="0" w:color="FFFFFF" w:themeColor="background1"/>
              <w:bottom w:val="single" w:sz="8" w:space="0" w:color="auto"/>
              <w:right w:val="single" w:sz="8" w:space="0" w:color="auto"/>
            </w:tcBorders>
            <w:shd w:val="clear" w:color="auto" w:fill="B6DDE8" w:themeFill="accent5" w:themeFillTint="66"/>
            <w:vAlign w:val="center"/>
          </w:tcPr>
          <w:p w14:paraId="027B3141" w14:textId="77777777" w:rsidR="007303AB" w:rsidRDefault="00841F2F" w:rsidP="006A1785">
            <w:pPr>
              <w:pStyle w:val="ListParagraph"/>
              <w:spacing w:before="60" w:after="60"/>
              <w:ind w:left="0"/>
              <w:jc w:val="center"/>
              <w:rPr>
                <w:rFonts w:ascii="Arial Narrow" w:hAnsi="Arial Narrow" w:cs="Arial"/>
                <w:szCs w:val="24"/>
              </w:rPr>
            </w:pPr>
            <w:r>
              <w:rPr>
                <w:rFonts w:ascii="Arial Narrow" w:hAnsi="Arial Narrow" w:cs="Arial"/>
                <w:szCs w:val="24"/>
              </w:rPr>
              <w:t>22/23</w:t>
            </w:r>
          </w:p>
        </w:tc>
      </w:tr>
    </w:tbl>
    <w:p w14:paraId="39FB2004" w14:textId="77777777" w:rsidR="000F68E3" w:rsidRPr="00EA6639" w:rsidRDefault="000F68E3" w:rsidP="00140CAE">
      <w:pPr>
        <w:pStyle w:val="Heading2"/>
      </w:pPr>
      <w:bookmarkStart w:id="69" w:name="_Toc56419104"/>
      <w:r w:rsidRPr="00EA6639">
        <w:lastRenderedPageBreak/>
        <w:t>8.3</w:t>
      </w:r>
      <w:r w:rsidRPr="00EA6639">
        <w:tab/>
        <w:t>Monitoring and Review Procedures</w:t>
      </w:r>
      <w:bookmarkEnd w:id="69"/>
    </w:p>
    <w:p w14:paraId="72080D85" w14:textId="77777777" w:rsidR="009D19FD" w:rsidRDefault="009D19FD" w:rsidP="009D19FD">
      <w:pPr>
        <w:autoSpaceDE w:val="0"/>
        <w:autoSpaceDN w:val="0"/>
        <w:adjustRightInd w:val="0"/>
        <w:spacing w:after="0"/>
        <w:rPr>
          <w:rFonts w:cs="Arial"/>
          <w:bCs/>
          <w:szCs w:val="24"/>
          <w:lang w:eastAsia="en-AU"/>
        </w:rPr>
      </w:pPr>
      <w:r w:rsidRPr="000D4998">
        <w:rPr>
          <w:rFonts w:cs="Arial"/>
          <w:bCs/>
          <w:szCs w:val="24"/>
          <w:lang w:eastAsia="en-AU"/>
        </w:rPr>
        <w:t xml:space="preserve">The </w:t>
      </w:r>
      <w:r>
        <w:rPr>
          <w:rFonts w:cs="Arial"/>
          <w:bCs/>
          <w:szCs w:val="24"/>
          <w:lang w:eastAsia="en-AU"/>
        </w:rPr>
        <w:t>F</w:t>
      </w:r>
      <w:r w:rsidRPr="000D4998">
        <w:rPr>
          <w:rFonts w:cs="Arial"/>
          <w:bCs/>
          <w:szCs w:val="24"/>
          <w:lang w:eastAsia="en-AU"/>
        </w:rPr>
        <w:t>AMP forms part of the City’s Strategic Asset Management Planning Framework (SAMPF), covers four financial years (20/21 – 23/24) and acts as an informing strategy to the City’s Corporate Planning Framework.</w:t>
      </w:r>
    </w:p>
    <w:p w14:paraId="39FB9FE0" w14:textId="77777777" w:rsidR="00D32BB1" w:rsidRPr="00D32BB1" w:rsidRDefault="00D32BB1" w:rsidP="00D32BB1">
      <w:pPr>
        <w:pStyle w:val="BodyText"/>
        <w:rPr>
          <w:lang w:eastAsia="en-AU"/>
        </w:rPr>
      </w:pPr>
    </w:p>
    <w:p w14:paraId="05313842" w14:textId="77777777" w:rsidR="009D19FD" w:rsidRDefault="009D19FD" w:rsidP="00F21005">
      <w:pPr>
        <w:rPr>
          <w:lang w:eastAsia="en-AU"/>
        </w:rPr>
      </w:pPr>
      <w:r w:rsidRPr="000D4998">
        <w:rPr>
          <w:lang w:eastAsia="en-AU"/>
        </w:rPr>
        <w:t xml:space="preserve">Future iterations of the </w:t>
      </w:r>
      <w:r w:rsidR="00832022">
        <w:rPr>
          <w:lang w:eastAsia="en-AU"/>
        </w:rPr>
        <w:t>F</w:t>
      </w:r>
      <w:r w:rsidRPr="000D4998">
        <w:rPr>
          <w:lang w:eastAsia="en-AU"/>
        </w:rPr>
        <w:t xml:space="preserve">AMP will be developed every 4 year and be subject to a 2 year desktop review. The </w:t>
      </w:r>
      <w:r w:rsidR="00832022">
        <w:rPr>
          <w:lang w:eastAsia="en-AU"/>
        </w:rPr>
        <w:t>F</w:t>
      </w:r>
      <w:r w:rsidRPr="000D4998">
        <w:rPr>
          <w:lang w:eastAsia="en-AU"/>
        </w:rPr>
        <w:t>AMP review will focus on core elements required by the LTFP, for example asset valuations, growth projections, financial analysis including operating, sustainability ratios and 10 year renewals. This will ensure that future revisions of the LTFP will be derived from a structured AMP development cycle which has received Executive and or Council approval, increasing confidence and integration of asset management data and methodologies into the City’s long term financial planning.</w:t>
      </w:r>
    </w:p>
    <w:p w14:paraId="4C47F452" w14:textId="77777777" w:rsidR="00197362" w:rsidRPr="00197362" w:rsidRDefault="00197362" w:rsidP="00197362">
      <w:pPr>
        <w:pStyle w:val="BodyText"/>
        <w:rPr>
          <w:lang w:eastAsia="en-AU"/>
        </w:rPr>
      </w:pPr>
      <w:r w:rsidRPr="00197362">
        <w:rPr>
          <w:lang w:eastAsia="en-AU"/>
        </w:rPr>
        <w:t>The following diagram provides a visual representation and timeline of the Strategic Asset Planning Frameworks plans and strategies.</w:t>
      </w:r>
    </w:p>
    <w:p w14:paraId="7F74DE67" w14:textId="77777777" w:rsidR="006F3D41" w:rsidRDefault="00C829E8" w:rsidP="006F3D41">
      <w:pPr>
        <w:spacing w:after="0"/>
        <w:rPr>
          <w:bCs/>
          <w:lang w:eastAsia="en-AU"/>
        </w:rPr>
      </w:pPr>
      <w:r>
        <w:rPr>
          <w:noProof/>
          <w:lang w:eastAsia="en-AU"/>
        </w:rPr>
        <w:drawing>
          <wp:inline distT="0" distB="0" distL="0" distR="0" wp14:anchorId="2432405C" wp14:editId="36DBC6F0">
            <wp:extent cx="5759532" cy="5041916"/>
            <wp:effectExtent l="0" t="0" r="0" b="6350"/>
            <wp:docPr id="15" name="Picture 15" descr="cid:image010.jpg@01D67485.7971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D67485.7971507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53735" cy="5036841"/>
                    </a:xfrm>
                    <a:prstGeom prst="rect">
                      <a:avLst/>
                    </a:prstGeom>
                    <a:noFill/>
                    <a:ln>
                      <a:noFill/>
                    </a:ln>
                  </pic:spPr>
                </pic:pic>
              </a:graphicData>
            </a:graphic>
          </wp:inline>
        </w:drawing>
      </w:r>
    </w:p>
    <w:p w14:paraId="418515D8" w14:textId="77777777" w:rsidR="006F3D41" w:rsidRDefault="006F3D41" w:rsidP="006F3D41">
      <w:pPr>
        <w:spacing w:after="0"/>
        <w:rPr>
          <w:bCs/>
          <w:lang w:eastAsia="en-AU"/>
        </w:rPr>
      </w:pPr>
    </w:p>
    <w:p w14:paraId="29A3E632" w14:textId="77777777" w:rsidR="00197362" w:rsidRDefault="00197362" w:rsidP="00F21005">
      <w:pPr>
        <w:rPr>
          <w:lang w:eastAsia="en-AU"/>
        </w:rPr>
      </w:pPr>
      <w:r w:rsidRPr="00197362">
        <w:rPr>
          <w:lang w:eastAsia="en-AU"/>
        </w:rPr>
        <w:lastRenderedPageBreak/>
        <w:t>The formalisation and alignment of the City’s SAMPF (Asset Management Policy, Strategy and AMP’s) within the Integrated Corporate Planning Framework reflects the City’s increasing maturity and recognises the importance of Asset Management in supporting the City in delivering long term financial sustainability of services and capital asset renewal.</w:t>
      </w:r>
    </w:p>
    <w:p w14:paraId="0FC2E721" w14:textId="77777777" w:rsidR="00B35879" w:rsidRDefault="00E22C4D" w:rsidP="00F21005">
      <w:r w:rsidRPr="000D4998">
        <w:rPr>
          <w:lang w:eastAsia="en-AU"/>
        </w:rPr>
        <w:t xml:space="preserve">Supported by the relevant business area and the Asset Management Sections of the </w:t>
      </w:r>
      <w:r w:rsidR="007303AB">
        <w:rPr>
          <w:lang w:eastAsia="en-AU"/>
        </w:rPr>
        <w:t>Property</w:t>
      </w:r>
      <w:r w:rsidRPr="000D4998">
        <w:rPr>
          <w:lang w:eastAsia="en-AU"/>
        </w:rPr>
        <w:t xml:space="preserve"> &amp; Asset Service Unit, the Project &amp; Asset Manager has overall responsibility and management for each of the </w:t>
      </w:r>
      <w:r w:rsidRPr="000D4998">
        <w:t xml:space="preserve">Improvement Strategies identified within section 8 of the </w:t>
      </w:r>
      <w:r w:rsidR="00FC0A29">
        <w:t>F</w:t>
      </w:r>
      <w:r w:rsidRPr="000D4998">
        <w:t>AMP.</w:t>
      </w:r>
      <w:r w:rsidR="00B35879">
        <w:br w:type="page"/>
      </w:r>
    </w:p>
    <w:p w14:paraId="4329A418" w14:textId="4983D630" w:rsidR="000F68E3" w:rsidRPr="006F08FA" w:rsidRDefault="006F08FA" w:rsidP="00A24172">
      <w:pPr>
        <w:pStyle w:val="Heading1"/>
        <w:rPr>
          <w:color w:val="0070C0"/>
        </w:rPr>
      </w:pPr>
      <w:bookmarkStart w:id="70" w:name="_Toc56419105"/>
      <w:r w:rsidRPr="006F08FA">
        <w:rPr>
          <w:color w:val="0070C0"/>
        </w:rPr>
        <w:lastRenderedPageBreak/>
        <w:t>References</w:t>
      </w:r>
      <w:bookmarkEnd w:id="70"/>
    </w:p>
    <w:p w14:paraId="2F891505" w14:textId="77777777" w:rsidR="001974A6" w:rsidRDefault="001974A6" w:rsidP="001974A6">
      <w:r>
        <w:t>City of Cockburn – Asset Management Strategy 2017 – 2024</w:t>
      </w:r>
    </w:p>
    <w:p w14:paraId="38F834A9" w14:textId="77777777" w:rsidR="0042009B" w:rsidRPr="000D4998" w:rsidRDefault="0042009B" w:rsidP="0042009B">
      <w:pPr>
        <w:pStyle w:val="BodyText"/>
        <w:jc w:val="left"/>
        <w:rPr>
          <w:szCs w:val="24"/>
        </w:rPr>
      </w:pPr>
      <w:r w:rsidRPr="000D4998">
        <w:rPr>
          <w:szCs w:val="24"/>
        </w:rPr>
        <w:t>City of Cockburn – Strategic Community Plan 20</w:t>
      </w:r>
      <w:r>
        <w:rPr>
          <w:szCs w:val="24"/>
        </w:rPr>
        <w:t>20</w:t>
      </w:r>
      <w:r w:rsidRPr="000D4998">
        <w:rPr>
          <w:szCs w:val="24"/>
        </w:rPr>
        <w:t xml:space="preserve"> – 20</w:t>
      </w:r>
      <w:r>
        <w:rPr>
          <w:szCs w:val="24"/>
        </w:rPr>
        <w:t>30</w:t>
      </w:r>
    </w:p>
    <w:p w14:paraId="25091B0D" w14:textId="77777777" w:rsidR="00404B7E" w:rsidRPr="000D4998" w:rsidRDefault="00404B7E" w:rsidP="00404B7E">
      <w:pPr>
        <w:pStyle w:val="BodyText"/>
        <w:jc w:val="left"/>
        <w:rPr>
          <w:szCs w:val="24"/>
        </w:rPr>
      </w:pPr>
      <w:r w:rsidRPr="000D4998">
        <w:rPr>
          <w:szCs w:val="24"/>
        </w:rPr>
        <w:t>City of Cockburn – Long Term Financial Plan 20</w:t>
      </w:r>
      <w:r>
        <w:rPr>
          <w:szCs w:val="24"/>
        </w:rPr>
        <w:t>20</w:t>
      </w:r>
      <w:r w:rsidRPr="000D4998">
        <w:rPr>
          <w:szCs w:val="24"/>
        </w:rPr>
        <w:t>-202</w:t>
      </w:r>
      <w:r>
        <w:rPr>
          <w:szCs w:val="24"/>
        </w:rPr>
        <w:t>1</w:t>
      </w:r>
      <w:r w:rsidRPr="000D4998">
        <w:rPr>
          <w:szCs w:val="24"/>
        </w:rPr>
        <w:t xml:space="preserve"> to 20</w:t>
      </w:r>
      <w:r>
        <w:rPr>
          <w:szCs w:val="24"/>
        </w:rPr>
        <w:t>29</w:t>
      </w:r>
      <w:r w:rsidRPr="000D4998">
        <w:rPr>
          <w:szCs w:val="24"/>
        </w:rPr>
        <w:t>-203</w:t>
      </w:r>
      <w:r>
        <w:rPr>
          <w:szCs w:val="24"/>
        </w:rPr>
        <w:t>0</w:t>
      </w:r>
    </w:p>
    <w:p w14:paraId="695F8B86" w14:textId="77777777" w:rsidR="002630F8" w:rsidRPr="000D4998" w:rsidRDefault="002630F8" w:rsidP="002630F8">
      <w:pPr>
        <w:pStyle w:val="BodyText"/>
        <w:jc w:val="left"/>
        <w:rPr>
          <w:szCs w:val="24"/>
        </w:rPr>
      </w:pPr>
      <w:r w:rsidRPr="000D4998">
        <w:rPr>
          <w:szCs w:val="24"/>
        </w:rPr>
        <w:t xml:space="preserve">City of Cockburn – Management Budget </w:t>
      </w:r>
      <w:r>
        <w:rPr>
          <w:szCs w:val="24"/>
        </w:rPr>
        <w:t>2020 - 2021</w:t>
      </w:r>
    </w:p>
    <w:p w14:paraId="117890AA" w14:textId="77777777" w:rsidR="001974A6" w:rsidRPr="008E4836" w:rsidRDefault="001974A6" w:rsidP="008E4836">
      <w:pPr>
        <w:pStyle w:val="BodyText"/>
        <w:ind w:left="720" w:hanging="720"/>
        <w:jc w:val="left"/>
        <w:rPr>
          <w:rFonts w:cs="Arial"/>
          <w:szCs w:val="24"/>
        </w:rPr>
      </w:pPr>
      <w:r w:rsidRPr="008E4836">
        <w:rPr>
          <w:rFonts w:cs="Arial"/>
          <w:szCs w:val="24"/>
        </w:rPr>
        <w:t>City of Cockburn – Enterprise Risk Management</w:t>
      </w:r>
    </w:p>
    <w:p w14:paraId="59527C55" w14:textId="77777777" w:rsidR="00AB3308" w:rsidRPr="008E4836" w:rsidRDefault="00AB3308" w:rsidP="008E4836">
      <w:pPr>
        <w:pStyle w:val="BodyText"/>
        <w:ind w:left="720" w:hanging="720"/>
        <w:jc w:val="left"/>
        <w:rPr>
          <w:rFonts w:cs="Arial"/>
          <w:szCs w:val="24"/>
        </w:rPr>
      </w:pPr>
      <w:r w:rsidRPr="008E4836">
        <w:rPr>
          <w:rFonts w:cs="Arial"/>
          <w:szCs w:val="24"/>
        </w:rPr>
        <w:t>City of Cockburn - A Plan for the District 2010 – 2020</w:t>
      </w:r>
    </w:p>
    <w:p w14:paraId="4C78BA05" w14:textId="77777777" w:rsidR="00AB3308" w:rsidRPr="008E4836" w:rsidRDefault="00AB3308" w:rsidP="008E4836">
      <w:pPr>
        <w:pStyle w:val="BodyText"/>
        <w:jc w:val="left"/>
        <w:rPr>
          <w:rFonts w:cs="Arial"/>
          <w:szCs w:val="24"/>
        </w:rPr>
      </w:pPr>
      <w:r w:rsidRPr="008E4836">
        <w:rPr>
          <w:rFonts w:cs="Arial"/>
          <w:szCs w:val="24"/>
        </w:rPr>
        <w:t xml:space="preserve">City of Cockburn - MARKYT – Community </w:t>
      </w:r>
      <w:r w:rsidR="00A040E5" w:rsidRPr="008E4836">
        <w:rPr>
          <w:rFonts w:cs="Arial"/>
          <w:szCs w:val="24"/>
        </w:rPr>
        <w:t>Scorecard 2017</w:t>
      </w:r>
      <w:r w:rsidR="00A27296" w:rsidRPr="008E4836">
        <w:rPr>
          <w:rFonts w:cs="Arial"/>
          <w:szCs w:val="24"/>
        </w:rPr>
        <w:t>, 2018, 2019</w:t>
      </w:r>
    </w:p>
    <w:p w14:paraId="4E85364B" w14:textId="77777777" w:rsidR="00AB3308" w:rsidRPr="008E4836" w:rsidRDefault="00AB3308" w:rsidP="008E4836">
      <w:pPr>
        <w:pStyle w:val="BodyText"/>
        <w:tabs>
          <w:tab w:val="left" w:pos="6411"/>
        </w:tabs>
        <w:jc w:val="left"/>
        <w:rPr>
          <w:rFonts w:cs="Arial"/>
          <w:szCs w:val="24"/>
        </w:rPr>
      </w:pPr>
      <w:r w:rsidRPr="008E4836">
        <w:rPr>
          <w:rFonts w:cs="Arial"/>
          <w:szCs w:val="24"/>
        </w:rPr>
        <w:t xml:space="preserve">City of Cockburn - MARKYT – Business </w:t>
      </w:r>
      <w:r w:rsidR="00A040E5" w:rsidRPr="008E4836">
        <w:rPr>
          <w:rFonts w:cs="Arial"/>
          <w:szCs w:val="24"/>
        </w:rPr>
        <w:t>Scorecard 2017</w:t>
      </w:r>
      <w:r w:rsidR="00054060" w:rsidRPr="008E4836">
        <w:rPr>
          <w:rFonts w:cs="Arial"/>
          <w:szCs w:val="24"/>
        </w:rPr>
        <w:t>, 2019</w:t>
      </w:r>
      <w:r w:rsidR="00A27296" w:rsidRPr="008E4836">
        <w:rPr>
          <w:rFonts w:cs="Arial"/>
          <w:szCs w:val="24"/>
        </w:rPr>
        <w:tab/>
      </w:r>
    </w:p>
    <w:p w14:paraId="6780CB56" w14:textId="77777777" w:rsidR="005C7934" w:rsidRPr="008E4836" w:rsidRDefault="00AB3308" w:rsidP="008E4836">
      <w:pPr>
        <w:pStyle w:val="BodyText"/>
        <w:jc w:val="left"/>
        <w:rPr>
          <w:rFonts w:cs="Arial"/>
          <w:szCs w:val="24"/>
        </w:rPr>
      </w:pPr>
      <w:r w:rsidRPr="008E4836">
        <w:rPr>
          <w:rFonts w:cs="Arial"/>
          <w:szCs w:val="24"/>
        </w:rPr>
        <w:t xml:space="preserve">City of Cockburn - Population forecast -  </w:t>
      </w:r>
      <w:hyperlink r:id="rId38" w:history="1">
        <w:r w:rsidR="005C7934" w:rsidRPr="008E4836">
          <w:rPr>
            <w:rStyle w:val="Hyperlink"/>
            <w:rFonts w:cs="Arial"/>
            <w:szCs w:val="24"/>
          </w:rPr>
          <w:t>https://forecast.id.com.au/cockburn/population-age-structure</w:t>
        </w:r>
      </w:hyperlink>
    </w:p>
    <w:p w14:paraId="53059841" w14:textId="77777777" w:rsidR="00A07F51" w:rsidRPr="008E4836" w:rsidRDefault="00A07F51" w:rsidP="008E4836">
      <w:pPr>
        <w:pStyle w:val="BodyText"/>
        <w:jc w:val="left"/>
        <w:rPr>
          <w:rFonts w:cs="Arial"/>
          <w:szCs w:val="24"/>
        </w:rPr>
      </w:pPr>
      <w:r w:rsidRPr="008E4836">
        <w:rPr>
          <w:rFonts w:cs="Arial"/>
          <w:szCs w:val="24"/>
        </w:rPr>
        <w:t>City of Cockburn Cycling and Walking Network Plan 2016</w:t>
      </w:r>
      <w:r w:rsidR="000435C7" w:rsidRPr="008E4836">
        <w:rPr>
          <w:rFonts w:cs="Arial"/>
          <w:szCs w:val="24"/>
        </w:rPr>
        <w:t xml:space="preserve"> </w:t>
      </w:r>
      <w:r w:rsidRPr="008E4836">
        <w:rPr>
          <w:rFonts w:cs="Arial"/>
          <w:szCs w:val="24"/>
        </w:rPr>
        <w:t>-</w:t>
      </w:r>
      <w:r w:rsidR="000435C7" w:rsidRPr="008E4836">
        <w:rPr>
          <w:rFonts w:cs="Arial"/>
          <w:szCs w:val="24"/>
        </w:rPr>
        <w:t xml:space="preserve"> </w:t>
      </w:r>
      <w:r w:rsidRPr="008E4836">
        <w:rPr>
          <w:rFonts w:cs="Arial"/>
          <w:szCs w:val="24"/>
        </w:rPr>
        <w:t xml:space="preserve">2021 </w:t>
      </w:r>
      <w:hyperlink r:id="rId39" w:history="1">
        <w:r w:rsidRPr="008E4836">
          <w:rPr>
            <w:rStyle w:val="Hyperlink"/>
            <w:rFonts w:cs="Arial"/>
            <w:szCs w:val="24"/>
          </w:rPr>
          <w:t>https://www.cockburn.wa.gov.au/getattachment/9d6378f1-3168-496a-bc91-f8b36be76cd4/ECM_7899154_v2_City-of-Cockburn-Cycling-and-Walking-Network-Plan-2016-2021-docx.aspx</w:t>
        </w:r>
      </w:hyperlink>
    </w:p>
    <w:p w14:paraId="18AED2AD" w14:textId="77777777" w:rsidR="00A07F51" w:rsidRPr="008E4836" w:rsidRDefault="00A040E5" w:rsidP="008E4836">
      <w:pPr>
        <w:pStyle w:val="BodyText"/>
        <w:jc w:val="left"/>
        <w:rPr>
          <w:rFonts w:cs="Arial"/>
          <w:szCs w:val="24"/>
        </w:rPr>
      </w:pPr>
      <w:r w:rsidRPr="008E4836">
        <w:rPr>
          <w:rFonts w:cs="Arial"/>
          <w:szCs w:val="24"/>
        </w:rPr>
        <w:t>City of Cockburn -</w:t>
      </w:r>
      <w:r w:rsidR="000435C7" w:rsidRPr="008E4836">
        <w:rPr>
          <w:rFonts w:cs="Arial"/>
          <w:szCs w:val="24"/>
        </w:rPr>
        <w:t xml:space="preserve"> </w:t>
      </w:r>
      <w:proofErr w:type="spellStart"/>
      <w:r w:rsidRPr="008E4836">
        <w:rPr>
          <w:rFonts w:cs="Arial"/>
          <w:szCs w:val="24"/>
        </w:rPr>
        <w:t>I</w:t>
      </w:r>
      <w:r w:rsidR="00A07F51" w:rsidRPr="008E4836">
        <w:rPr>
          <w:rFonts w:cs="Arial"/>
          <w:szCs w:val="24"/>
        </w:rPr>
        <w:t>ntramap</w:t>
      </w:r>
      <w:r w:rsidR="000435C7" w:rsidRPr="008E4836">
        <w:rPr>
          <w:rFonts w:cs="Arial"/>
          <w:szCs w:val="24"/>
        </w:rPr>
        <w:t>s</w:t>
      </w:r>
      <w:proofErr w:type="spellEnd"/>
      <w:r w:rsidRPr="008E4836">
        <w:rPr>
          <w:rFonts w:cs="Arial"/>
          <w:szCs w:val="24"/>
        </w:rPr>
        <w:t xml:space="preserve"> (</w:t>
      </w:r>
      <w:r w:rsidR="00A07F51" w:rsidRPr="008E4836">
        <w:rPr>
          <w:rFonts w:cs="Arial"/>
          <w:szCs w:val="24"/>
        </w:rPr>
        <w:t>Bike Plan Module</w:t>
      </w:r>
      <w:r w:rsidRPr="008E4836">
        <w:rPr>
          <w:rFonts w:cs="Arial"/>
          <w:szCs w:val="24"/>
        </w:rPr>
        <w:t>)</w:t>
      </w:r>
    </w:p>
    <w:p w14:paraId="05D50141" w14:textId="77777777" w:rsidR="00AB3308" w:rsidRPr="008E4836" w:rsidRDefault="00AB3308" w:rsidP="008E4836">
      <w:pPr>
        <w:pStyle w:val="BodyText"/>
        <w:jc w:val="left"/>
        <w:rPr>
          <w:rFonts w:cs="Arial"/>
          <w:szCs w:val="24"/>
        </w:rPr>
      </w:pPr>
      <w:r w:rsidRPr="008E4836">
        <w:rPr>
          <w:rFonts w:cs="Arial"/>
          <w:szCs w:val="24"/>
        </w:rPr>
        <w:t xml:space="preserve">IPWEA, 2011, ‘International Infrastructure Management Manual’, Institute of Public Works Engineering Australia, Sydney, </w:t>
      </w:r>
      <w:hyperlink r:id="rId40" w:history="1">
        <w:r w:rsidRPr="008E4836">
          <w:rPr>
            <w:rStyle w:val="Hyperlink"/>
            <w:rFonts w:cs="Arial"/>
            <w:szCs w:val="24"/>
          </w:rPr>
          <w:t>www.ipwea.org.au</w:t>
        </w:r>
      </w:hyperlink>
    </w:p>
    <w:p w14:paraId="579DDC40" w14:textId="77777777" w:rsidR="00AB3308" w:rsidRPr="008E4836" w:rsidRDefault="00AB3308" w:rsidP="008E4836">
      <w:pPr>
        <w:pStyle w:val="BodyText"/>
        <w:jc w:val="left"/>
        <w:rPr>
          <w:rFonts w:cs="Arial"/>
          <w:szCs w:val="24"/>
        </w:rPr>
      </w:pPr>
      <w:r w:rsidRPr="008E4836">
        <w:rPr>
          <w:rFonts w:cs="Arial"/>
          <w:szCs w:val="24"/>
        </w:rPr>
        <w:t xml:space="preserve">Government of Western Australia, Department of The Premier and Cabinet - </w:t>
      </w:r>
      <w:hyperlink r:id="rId41" w:history="1">
        <w:r w:rsidRPr="008E4836">
          <w:rPr>
            <w:rStyle w:val="Hyperlink"/>
            <w:rFonts w:cs="Arial"/>
            <w:szCs w:val="24"/>
          </w:rPr>
          <w:t>Western Australian Legislation - Acts in force</w:t>
        </w:r>
      </w:hyperlink>
    </w:p>
    <w:p w14:paraId="5E176195" w14:textId="77777777" w:rsidR="00AB3308" w:rsidRPr="008E4836" w:rsidRDefault="00AB3308" w:rsidP="008E4836">
      <w:pPr>
        <w:pStyle w:val="BodyText"/>
        <w:jc w:val="left"/>
        <w:rPr>
          <w:rFonts w:cs="Arial"/>
          <w:szCs w:val="24"/>
        </w:rPr>
      </w:pPr>
      <w:r w:rsidRPr="008E4836">
        <w:rPr>
          <w:rFonts w:cs="Arial"/>
          <w:szCs w:val="24"/>
        </w:rPr>
        <w:t xml:space="preserve">The Local Government and Municipal Knowledge Base - </w:t>
      </w:r>
      <w:hyperlink r:id="rId42" w:history="1">
        <w:r w:rsidRPr="008E4836">
          <w:rPr>
            <w:rStyle w:val="Hyperlink"/>
            <w:rFonts w:cs="Arial"/>
            <w:szCs w:val="24"/>
          </w:rPr>
          <w:t>LGAM Knowledge Base</w:t>
        </w:r>
      </w:hyperlink>
    </w:p>
    <w:p w14:paraId="42078545" w14:textId="77777777" w:rsidR="00AB3308" w:rsidRPr="008E4836" w:rsidRDefault="00AB3308" w:rsidP="008E4836">
      <w:pPr>
        <w:pStyle w:val="BodyText"/>
        <w:jc w:val="left"/>
        <w:rPr>
          <w:rFonts w:cs="Arial"/>
          <w:szCs w:val="24"/>
        </w:rPr>
      </w:pPr>
      <w:r w:rsidRPr="008E4836">
        <w:rPr>
          <w:rFonts w:cs="Arial"/>
          <w:szCs w:val="24"/>
        </w:rPr>
        <w:t xml:space="preserve">Main Roads Western Australia - </w:t>
      </w:r>
      <w:hyperlink r:id="rId43" w:history="1">
        <w:r w:rsidRPr="008E4836">
          <w:rPr>
            <w:rStyle w:val="Hyperlink"/>
            <w:rFonts w:cs="Arial"/>
            <w:szCs w:val="24"/>
          </w:rPr>
          <w:t>Welcome - Main Roads Western Australia</w:t>
        </w:r>
      </w:hyperlink>
    </w:p>
    <w:p w14:paraId="35907060" w14:textId="77777777" w:rsidR="00AB3308" w:rsidRPr="008E4836" w:rsidRDefault="00AB3308" w:rsidP="008E4836">
      <w:pPr>
        <w:pStyle w:val="BodyText"/>
        <w:jc w:val="left"/>
        <w:rPr>
          <w:rFonts w:cs="Arial"/>
          <w:szCs w:val="24"/>
        </w:rPr>
      </w:pPr>
      <w:r w:rsidRPr="008E4836">
        <w:rPr>
          <w:rFonts w:cs="Arial"/>
          <w:szCs w:val="24"/>
        </w:rPr>
        <w:t xml:space="preserve">DVC, 2006, ‘Asset Investment Guidelines’, ‘Glossary’, Department for Victorian Communities, Local Government Victoria, Melbourne, </w:t>
      </w:r>
      <w:hyperlink r:id="rId44" w:tooltip="blocked::http://www.dvc.vic.gov.au/web20/dvclgv.nsf/allDocs/RWP1C79EC4A7225CD2FCA257170003259F6?OpenDocument" w:history="1">
        <w:r w:rsidRPr="008E4836">
          <w:rPr>
            <w:rStyle w:val="Hyperlink"/>
            <w:rFonts w:cs="Arial"/>
            <w:szCs w:val="24"/>
          </w:rPr>
          <w:t>http://www.dvc.vic.gov.au/web20/dvclgv.nsf/allDocs/RWP1C79EC4A7225CD2FCA257170003259F6?OpenDocument</w:t>
        </w:r>
      </w:hyperlink>
    </w:p>
    <w:p w14:paraId="0133D138" w14:textId="77777777" w:rsidR="00AB3308" w:rsidRPr="008E4836" w:rsidRDefault="00AB3308" w:rsidP="008E4836">
      <w:pPr>
        <w:pStyle w:val="BodyText"/>
        <w:jc w:val="left"/>
        <w:rPr>
          <w:rFonts w:cs="Arial"/>
          <w:szCs w:val="24"/>
        </w:rPr>
      </w:pPr>
      <w:r w:rsidRPr="008E4836">
        <w:rPr>
          <w:rFonts w:cs="Arial"/>
          <w:szCs w:val="24"/>
        </w:rPr>
        <w:t>Local Government of Western Australia – Asset Management Framework and Guidelines</w:t>
      </w:r>
    </w:p>
    <w:p w14:paraId="3BEE099E" w14:textId="77777777" w:rsidR="007869E5" w:rsidRPr="00EA6639" w:rsidRDefault="007869E5" w:rsidP="0095532B">
      <w:pPr>
        <w:pStyle w:val="BodyText"/>
        <w:rPr>
          <w:rFonts w:cs="Arial"/>
          <w:szCs w:val="24"/>
        </w:rPr>
      </w:pPr>
    </w:p>
    <w:p w14:paraId="35F3B5B0" w14:textId="2DEF6EC5" w:rsidR="000F68E3" w:rsidRPr="006F08FA" w:rsidRDefault="00362218" w:rsidP="00A24172">
      <w:pPr>
        <w:pStyle w:val="Heading1"/>
        <w:rPr>
          <w:color w:val="0070C0"/>
        </w:rPr>
      </w:pPr>
      <w:r w:rsidRPr="00EA6639">
        <w:br w:type="page"/>
      </w:r>
      <w:bookmarkStart w:id="71" w:name="_Toc56419106"/>
      <w:r w:rsidR="006F08FA" w:rsidRPr="006F08FA">
        <w:rPr>
          <w:color w:val="0070C0"/>
        </w:rPr>
        <w:lastRenderedPageBreak/>
        <w:t>Appendices</w:t>
      </w:r>
      <w:bookmarkEnd w:id="71"/>
    </w:p>
    <w:p w14:paraId="618DE439" w14:textId="77777777" w:rsidR="0067616F" w:rsidRPr="006F08FA" w:rsidRDefault="00144FEF" w:rsidP="00140CAE">
      <w:pPr>
        <w:pStyle w:val="Heading2"/>
      </w:pPr>
      <w:bookmarkStart w:id="72" w:name="_Toc56419107"/>
      <w:r w:rsidRPr="006F08FA">
        <w:t>Appendix A</w:t>
      </w:r>
      <w:r w:rsidRPr="006F08FA">
        <w:tab/>
      </w:r>
      <w:r w:rsidR="0067616F" w:rsidRPr="006F08FA">
        <w:t>Le</w:t>
      </w:r>
      <w:r w:rsidRPr="006F08FA">
        <w:t>gislative Requirements</w:t>
      </w:r>
      <w:bookmarkEnd w:id="72"/>
    </w:p>
    <w:tbl>
      <w:tblPr>
        <w:tblW w:w="0" w:type="auto"/>
        <w:tblLook w:val="04A0" w:firstRow="1" w:lastRow="0" w:firstColumn="1" w:lastColumn="0" w:noHBand="0" w:noVBand="1"/>
      </w:tblPr>
      <w:tblGrid>
        <w:gridCol w:w="3510"/>
        <w:gridCol w:w="5954"/>
      </w:tblGrid>
      <w:tr w:rsidR="00407089" w:rsidRPr="002E1830" w14:paraId="4F294C74" w14:textId="77777777" w:rsidTr="00971D7D">
        <w:trPr>
          <w:cantSplit/>
          <w:trHeight w:val="567"/>
          <w:tblHeader/>
        </w:trPr>
        <w:tc>
          <w:tcPr>
            <w:tcW w:w="3510" w:type="dxa"/>
            <w:tcBorders>
              <w:top w:val="single" w:sz="8" w:space="0" w:color="auto"/>
              <w:left w:val="single" w:sz="8" w:space="0" w:color="auto"/>
              <w:bottom w:val="thinThickSmallGap" w:sz="24" w:space="0" w:color="auto"/>
              <w:right w:val="single" w:sz="8" w:space="0" w:color="FFFFFF" w:themeColor="background1"/>
            </w:tcBorders>
            <w:shd w:val="clear" w:color="auto" w:fill="4BACC6" w:themeFill="accent5"/>
            <w:vAlign w:val="center"/>
          </w:tcPr>
          <w:p w14:paraId="1B793CE5" w14:textId="77777777" w:rsidR="00407089" w:rsidRPr="002E1830" w:rsidRDefault="00407089" w:rsidP="00407089">
            <w:pPr>
              <w:pStyle w:val="BodyText"/>
              <w:spacing w:before="60" w:after="60"/>
              <w:jc w:val="center"/>
              <w:rPr>
                <w:rFonts w:ascii="Arial Narrow" w:hAnsi="Arial Narrow" w:cs="Arial"/>
                <w:color w:val="FFFFFF" w:themeColor="background1"/>
                <w:szCs w:val="24"/>
              </w:rPr>
            </w:pPr>
            <w:r w:rsidRPr="002E1830">
              <w:rPr>
                <w:rFonts w:ascii="Arial Narrow" w:hAnsi="Arial Narrow" w:cs="Arial"/>
                <w:color w:val="FFFFFF" w:themeColor="background1"/>
                <w:szCs w:val="24"/>
              </w:rPr>
              <w:t>Legislation</w:t>
            </w:r>
          </w:p>
        </w:tc>
        <w:tc>
          <w:tcPr>
            <w:tcW w:w="5954" w:type="dxa"/>
            <w:tcBorders>
              <w:top w:val="single" w:sz="8" w:space="0" w:color="auto"/>
              <w:left w:val="single" w:sz="8" w:space="0" w:color="FFFFFF" w:themeColor="background1"/>
              <w:bottom w:val="thinThickSmallGap" w:sz="24" w:space="0" w:color="auto"/>
              <w:right w:val="single" w:sz="8" w:space="0" w:color="auto"/>
            </w:tcBorders>
            <w:shd w:val="clear" w:color="auto" w:fill="4BACC6" w:themeFill="accent5"/>
            <w:vAlign w:val="center"/>
          </w:tcPr>
          <w:p w14:paraId="1521DD09" w14:textId="77777777" w:rsidR="00407089" w:rsidRPr="002E1830" w:rsidRDefault="00407089" w:rsidP="00407089">
            <w:pPr>
              <w:pStyle w:val="BodyText"/>
              <w:spacing w:before="60" w:after="60"/>
              <w:jc w:val="center"/>
              <w:rPr>
                <w:rFonts w:ascii="Arial Narrow" w:hAnsi="Arial Narrow" w:cs="Arial"/>
                <w:color w:val="FFFFFF" w:themeColor="background1"/>
                <w:szCs w:val="24"/>
              </w:rPr>
            </w:pPr>
            <w:r w:rsidRPr="002E1830">
              <w:rPr>
                <w:rFonts w:ascii="Arial Narrow" w:hAnsi="Arial Narrow" w:cs="Arial"/>
                <w:color w:val="FFFFFF" w:themeColor="background1"/>
                <w:szCs w:val="24"/>
              </w:rPr>
              <w:t>Requirement</w:t>
            </w:r>
          </w:p>
        </w:tc>
      </w:tr>
      <w:tr w:rsidR="00407089" w:rsidRPr="002E1830" w14:paraId="346F4743" w14:textId="77777777" w:rsidTr="00971D7D">
        <w:trPr>
          <w:cantSplit/>
        </w:trPr>
        <w:tc>
          <w:tcPr>
            <w:tcW w:w="3510" w:type="dxa"/>
            <w:tcBorders>
              <w:top w:val="thinThickSmallGap" w:sz="24" w:space="0" w:color="auto"/>
              <w:left w:val="single" w:sz="8" w:space="0" w:color="auto"/>
              <w:bottom w:val="single" w:sz="8" w:space="0" w:color="FFFFFF" w:themeColor="background1"/>
              <w:right w:val="thinThickSmallGap" w:sz="24" w:space="0" w:color="auto"/>
            </w:tcBorders>
            <w:shd w:val="clear" w:color="auto" w:fill="B6DDE8" w:themeFill="accent5" w:themeFillTint="66"/>
          </w:tcPr>
          <w:p w14:paraId="7E66E217"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Local Government Act 1995</w:t>
            </w:r>
          </w:p>
        </w:tc>
        <w:tc>
          <w:tcPr>
            <w:tcW w:w="5954" w:type="dxa"/>
            <w:tcBorders>
              <w:top w:val="thinThickSmallGap" w:sz="24" w:space="0" w:color="auto"/>
              <w:left w:val="thinThickSmallGap" w:sz="24" w:space="0" w:color="auto"/>
              <w:bottom w:val="single" w:sz="8" w:space="0" w:color="FFFFFF" w:themeColor="background1"/>
              <w:right w:val="single" w:sz="8" w:space="0" w:color="auto"/>
            </w:tcBorders>
            <w:shd w:val="clear" w:color="auto" w:fill="B6DDE8" w:themeFill="accent5" w:themeFillTint="66"/>
          </w:tcPr>
          <w:p w14:paraId="4BFC9865"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for a system of Local Government by describing the functions of and providing a framework for the administration and financial management of Local Governments.</w:t>
            </w:r>
          </w:p>
        </w:tc>
      </w:tr>
      <w:tr w:rsidR="00407089" w:rsidRPr="002E1830" w14:paraId="2201D4F3"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2C0DB6C0"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Main Roads Act 1930</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25289C53"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bCs/>
                <w:szCs w:val="24"/>
              </w:rPr>
              <w:t xml:space="preserve">Consolidates and amends the law relating to and making provision for the construction, maintenance and supervision of highways, main and secondary roads, and other roads and the control of access to </w:t>
            </w:r>
            <w:proofErr w:type="gramStart"/>
            <w:r w:rsidRPr="002E1830">
              <w:rPr>
                <w:rFonts w:ascii="Arial Narrow" w:hAnsi="Arial Narrow" w:cs="Arial"/>
                <w:bCs/>
                <w:szCs w:val="24"/>
              </w:rPr>
              <w:t>roads.</w:t>
            </w:r>
            <w:r w:rsidRPr="002E1830">
              <w:rPr>
                <w:rFonts w:ascii="Arial Narrow" w:hAnsi="Arial Narrow" w:cs="Arial"/>
                <w:szCs w:val="24"/>
              </w:rPr>
              <w:t>.</w:t>
            </w:r>
            <w:proofErr w:type="gramEnd"/>
          </w:p>
        </w:tc>
      </w:tr>
      <w:tr w:rsidR="00407089" w:rsidRPr="002E1830" w14:paraId="02495025"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3B533BFB"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Main Roads WA – Code of Practice for traffic management for works on roads (April 2011)</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0330CD86"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To promote safe and consistent traffic management practice at work sites on roads in accordance with state legislation and national standards. Requires general compliance with the Australian Standard 1742.3-2009 and associated field guides, provides details of additional requirements necessary to meet WA requirements. Also outlines the competency requirements for personnel responsible for managing traffic on work sites.</w:t>
            </w:r>
          </w:p>
        </w:tc>
      </w:tr>
      <w:tr w:rsidR="00407089" w:rsidRPr="002E1830" w14:paraId="478BB43A"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51945357"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Transport Co-ordination Act 1966</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424E0E69" w14:textId="77777777" w:rsidR="00407089" w:rsidRPr="002E1830" w:rsidRDefault="00407089" w:rsidP="00407089">
            <w:pPr>
              <w:autoSpaceDE w:val="0"/>
              <w:autoSpaceDN w:val="0"/>
              <w:adjustRightInd w:val="0"/>
              <w:spacing w:before="60" w:after="60"/>
              <w:rPr>
                <w:rFonts w:ascii="Arial Narrow" w:hAnsi="Arial Narrow" w:cs="Arial"/>
                <w:szCs w:val="24"/>
              </w:rPr>
            </w:pPr>
            <w:r w:rsidRPr="002E1830">
              <w:rPr>
                <w:rFonts w:ascii="Arial Narrow" w:hAnsi="Arial Narrow" w:cs="Arial"/>
                <w:bCs/>
                <w:szCs w:val="24"/>
                <w:lang w:val="en-US" w:eastAsia="en-AU"/>
              </w:rPr>
              <w:t xml:space="preserve">Provides for the co-ordination, planning and advancement of all forms of transport in WA, to provide for the review, </w:t>
            </w:r>
            <w:proofErr w:type="gramStart"/>
            <w:r w:rsidRPr="002E1830">
              <w:rPr>
                <w:rFonts w:ascii="Arial Narrow" w:hAnsi="Arial Narrow" w:cs="Arial"/>
                <w:bCs/>
                <w:szCs w:val="24"/>
                <w:lang w:val="en-US" w:eastAsia="en-AU"/>
              </w:rPr>
              <w:t>control</w:t>
            </w:r>
            <w:proofErr w:type="gramEnd"/>
            <w:r w:rsidRPr="002E1830">
              <w:rPr>
                <w:rFonts w:ascii="Arial Narrow" w:hAnsi="Arial Narrow" w:cs="Arial"/>
                <w:bCs/>
                <w:szCs w:val="24"/>
                <w:lang w:val="en-US" w:eastAsia="en-AU"/>
              </w:rPr>
              <w:t xml:space="preserve"> and licensing of transport services and for incidental and other purposes.</w:t>
            </w:r>
          </w:p>
        </w:tc>
      </w:tr>
      <w:tr w:rsidR="00407089" w:rsidRPr="002E1830" w14:paraId="55C2EDD3"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558DE5FE"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Planning and Development Act 2005</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3FBD21B5"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for a system land use planning and development in the State and for related purposes.</w:t>
            </w:r>
          </w:p>
        </w:tc>
      </w:tr>
      <w:tr w:rsidR="00407089" w:rsidRPr="002E1830" w14:paraId="310A24D9"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322AA606"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Environmental Protection Act 1986</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292FFD03"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for an Environmental Protection Authority, for the protection, control and abatement of pollution and environmental harm, for the conservation, preservation, protection, enhancement and management of the environment and for matters incidental to or connected to the foregoing.</w:t>
            </w:r>
          </w:p>
        </w:tc>
      </w:tr>
      <w:tr w:rsidR="00407089" w:rsidRPr="002E1830" w14:paraId="70B4CB17"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6D345A9E"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Contaminated Sites Act 2003</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0C854BAC"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for the identification, recording, management and remediation of contaminated sites, to consequentially amend certain other Acts and for related purposes.</w:t>
            </w:r>
          </w:p>
        </w:tc>
      </w:tr>
      <w:tr w:rsidR="00407089" w:rsidRPr="002E1830" w14:paraId="531AD979" w14:textId="77777777" w:rsidTr="00971D7D">
        <w:trPr>
          <w:cantSplit/>
        </w:trPr>
        <w:tc>
          <w:tcPr>
            <w:tcW w:w="3510" w:type="dxa"/>
            <w:tcBorders>
              <w:top w:val="single" w:sz="8" w:space="0" w:color="FFFFFF" w:themeColor="background1"/>
              <w:left w:val="single" w:sz="8" w:space="0" w:color="auto"/>
              <w:bottom w:val="single" w:sz="8" w:space="0" w:color="auto"/>
              <w:right w:val="thinThickSmallGap" w:sz="24" w:space="0" w:color="auto"/>
            </w:tcBorders>
            <w:shd w:val="clear" w:color="auto" w:fill="DAEEF3" w:themeFill="accent5" w:themeFillTint="33"/>
          </w:tcPr>
          <w:p w14:paraId="62E027BE"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Conservation and Land Management Act 1984</w:t>
            </w:r>
          </w:p>
        </w:tc>
        <w:tc>
          <w:tcPr>
            <w:tcW w:w="5954" w:type="dxa"/>
            <w:tcBorders>
              <w:top w:val="single" w:sz="8" w:space="0" w:color="FFFFFF" w:themeColor="background1"/>
              <w:left w:val="thinThickSmallGap" w:sz="24" w:space="0" w:color="auto"/>
              <w:bottom w:val="single" w:sz="8" w:space="0" w:color="auto"/>
              <w:right w:val="single" w:sz="8" w:space="0" w:color="auto"/>
            </w:tcBorders>
            <w:shd w:val="clear" w:color="auto" w:fill="DAEEF3" w:themeFill="accent5" w:themeFillTint="33"/>
          </w:tcPr>
          <w:p w14:paraId="4C617D90" w14:textId="77777777" w:rsidR="00407089" w:rsidRPr="002E1830" w:rsidRDefault="00407089" w:rsidP="00407089">
            <w:pPr>
              <w:autoSpaceDE w:val="0"/>
              <w:autoSpaceDN w:val="0"/>
              <w:adjustRightInd w:val="0"/>
              <w:spacing w:before="60" w:after="60"/>
              <w:rPr>
                <w:rFonts w:ascii="Arial Narrow" w:hAnsi="Arial Narrow" w:cs="Arial"/>
                <w:szCs w:val="24"/>
              </w:rPr>
            </w:pPr>
            <w:r w:rsidRPr="002E1830">
              <w:rPr>
                <w:rFonts w:ascii="Arial Narrow" w:hAnsi="Arial Narrow" w:cs="Arial"/>
                <w:bCs/>
                <w:szCs w:val="24"/>
                <w:lang w:val="en-US" w:eastAsia="en-AU"/>
              </w:rPr>
              <w:t>Makes better provision for the use, protection and management of certain public lands and waters and the flora and fauna thereof, establishes authorities to be responsible therefore, and for incidental or connected purposes.</w:t>
            </w:r>
          </w:p>
        </w:tc>
      </w:tr>
      <w:tr w:rsidR="00407089" w:rsidRPr="002E1830" w14:paraId="7D2C9DA5" w14:textId="77777777" w:rsidTr="00971D7D">
        <w:trPr>
          <w:cantSplit/>
        </w:trPr>
        <w:tc>
          <w:tcPr>
            <w:tcW w:w="3510" w:type="dxa"/>
            <w:tcBorders>
              <w:top w:val="single" w:sz="8" w:space="0" w:color="auto"/>
              <w:left w:val="single" w:sz="8" w:space="0" w:color="auto"/>
              <w:bottom w:val="single" w:sz="8" w:space="0" w:color="FFFFFF" w:themeColor="background1"/>
              <w:right w:val="thinThickSmallGap" w:sz="24" w:space="0" w:color="auto"/>
            </w:tcBorders>
            <w:shd w:val="clear" w:color="auto" w:fill="B6DDE8" w:themeFill="accent5" w:themeFillTint="66"/>
          </w:tcPr>
          <w:p w14:paraId="4815E0D5"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lastRenderedPageBreak/>
              <w:t>Soil and Land Conservation Act 1945</w:t>
            </w:r>
          </w:p>
        </w:tc>
        <w:tc>
          <w:tcPr>
            <w:tcW w:w="5954" w:type="dxa"/>
            <w:tcBorders>
              <w:top w:val="single" w:sz="8" w:space="0" w:color="auto"/>
              <w:left w:val="thinThickSmallGap" w:sz="24" w:space="0" w:color="auto"/>
              <w:bottom w:val="single" w:sz="8" w:space="0" w:color="FFFFFF" w:themeColor="background1"/>
              <w:right w:val="single" w:sz="8" w:space="0" w:color="auto"/>
            </w:tcBorders>
            <w:shd w:val="clear" w:color="auto" w:fill="B6DDE8" w:themeFill="accent5" w:themeFillTint="66"/>
          </w:tcPr>
          <w:p w14:paraId="0A5F181C" w14:textId="77777777" w:rsidR="00407089" w:rsidRPr="002E1830" w:rsidRDefault="00407089" w:rsidP="00407089">
            <w:pPr>
              <w:pStyle w:val="NormalWeb"/>
              <w:spacing w:before="60" w:beforeAutospacing="0" w:after="60" w:afterAutospacing="0"/>
              <w:jc w:val="both"/>
              <w:rPr>
                <w:rFonts w:ascii="Arial Narrow" w:hAnsi="Arial Narrow" w:cs="Arial"/>
              </w:rPr>
            </w:pPr>
            <w:r w:rsidRPr="002E1830">
              <w:rPr>
                <w:rFonts w:ascii="Arial Narrow" w:hAnsi="Arial Narrow" w:cs="Arial"/>
                <w:bCs/>
              </w:rPr>
              <w:t xml:space="preserve">Relates to the conservation of soil and land resources, and to the mitigation of the effects of erosion, </w:t>
            </w:r>
            <w:proofErr w:type="gramStart"/>
            <w:r w:rsidRPr="002E1830">
              <w:rPr>
                <w:rFonts w:ascii="Arial Narrow" w:hAnsi="Arial Narrow" w:cs="Arial"/>
                <w:bCs/>
              </w:rPr>
              <w:t>salinity</w:t>
            </w:r>
            <w:proofErr w:type="gramEnd"/>
            <w:r w:rsidRPr="002E1830">
              <w:rPr>
                <w:rFonts w:ascii="Arial Narrow" w:hAnsi="Arial Narrow" w:cs="Arial"/>
                <w:bCs/>
              </w:rPr>
              <w:t xml:space="preserve"> and flooding. </w:t>
            </w:r>
          </w:p>
        </w:tc>
      </w:tr>
      <w:tr w:rsidR="00407089" w:rsidRPr="002E1830" w14:paraId="5B0DBF95"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33A8BAFA"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Rail Safety Act 2010</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6B19E25B"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Requires Local Governments to develop an Interface Agreement with the rail manager/operator for every rail/road crossing in their area of responsibility by 1 February 2014</w:t>
            </w:r>
          </w:p>
        </w:tc>
      </w:tr>
      <w:tr w:rsidR="00407089" w:rsidRPr="002E1830" w14:paraId="3E51CFFA"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397BA127"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Fire and Emergency Services Authority of WA Act 1998</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56E22FD5" w14:textId="77777777" w:rsidR="00407089" w:rsidRPr="002E1830" w:rsidRDefault="00407089" w:rsidP="00407089">
            <w:pPr>
              <w:autoSpaceDE w:val="0"/>
              <w:autoSpaceDN w:val="0"/>
              <w:adjustRightInd w:val="0"/>
              <w:spacing w:before="60" w:after="60"/>
              <w:rPr>
                <w:rFonts w:ascii="Arial Narrow" w:hAnsi="Arial Narrow" w:cs="Arial"/>
                <w:bCs/>
                <w:szCs w:val="24"/>
                <w:lang w:val="en-US"/>
              </w:rPr>
            </w:pPr>
            <w:r w:rsidRPr="002E1830">
              <w:rPr>
                <w:rFonts w:ascii="Arial Narrow" w:hAnsi="Arial Narrow" w:cs="Arial"/>
                <w:bCs/>
                <w:szCs w:val="24"/>
                <w:lang w:val="en-US" w:eastAsia="en-AU"/>
              </w:rPr>
              <w:t>Establishes an Authority with functions relating to the provision and management of emergency services, and for related purposes.</w:t>
            </w:r>
          </w:p>
        </w:tc>
      </w:tr>
      <w:tr w:rsidR="00407089" w:rsidRPr="002E1830" w14:paraId="6A0FBE63"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63A47C3D"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Aboriginal Heritage Act 1972</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383F28DF" w14:textId="77777777" w:rsidR="00407089" w:rsidRPr="002E1830" w:rsidRDefault="00407089" w:rsidP="00407089">
            <w:pPr>
              <w:autoSpaceDE w:val="0"/>
              <w:autoSpaceDN w:val="0"/>
              <w:adjustRightInd w:val="0"/>
              <w:spacing w:before="60" w:after="60"/>
              <w:rPr>
                <w:rFonts w:ascii="Arial Narrow" w:hAnsi="Arial Narrow" w:cs="Arial"/>
                <w:bCs/>
                <w:szCs w:val="24"/>
                <w:lang w:val="en-US"/>
              </w:rPr>
            </w:pPr>
            <w:r w:rsidRPr="002E1830">
              <w:rPr>
                <w:rFonts w:ascii="Arial Narrow" w:hAnsi="Arial Narrow" w:cs="Arial"/>
                <w:bCs/>
                <w:szCs w:val="24"/>
                <w:lang w:val="en-US"/>
              </w:rPr>
              <w:t>Provision for the preservation on behalf of the community of places and objects customarily used by or traditional to the original inhabitants of Australia or their descendants</w:t>
            </w:r>
          </w:p>
        </w:tc>
      </w:tr>
      <w:tr w:rsidR="00407089" w:rsidRPr="002E1830" w14:paraId="53AC14B9"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7907D1D3"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Native Title (state provisions) Act 1999</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3C098124" w14:textId="77777777" w:rsidR="00407089" w:rsidRPr="002E1830" w:rsidRDefault="00407089" w:rsidP="00407089">
            <w:pPr>
              <w:pStyle w:val="paragraph0"/>
              <w:spacing w:before="60" w:beforeAutospacing="0" w:after="60" w:afterAutospacing="0"/>
              <w:jc w:val="both"/>
              <w:rPr>
                <w:rFonts w:ascii="Arial Narrow" w:hAnsi="Arial Narrow" w:cs="Arial"/>
                <w:bCs/>
                <w:lang w:eastAsia="en-AU"/>
              </w:rPr>
            </w:pPr>
            <w:r w:rsidRPr="002E1830">
              <w:rPr>
                <w:rFonts w:ascii="Arial Narrow" w:hAnsi="Arial Narrow" w:cs="Arial"/>
              </w:rPr>
              <w:t>Provides for the recognition and protection of native title and to establish ways in which future dealings affecting native title may proceed.</w:t>
            </w:r>
          </w:p>
        </w:tc>
      </w:tr>
      <w:tr w:rsidR="00407089" w:rsidRPr="002E1830" w14:paraId="386C4BBA"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0BA3E476"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Occupational Safety and Health Act 1984 (WA)</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298041E2"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for the promotion, coordination, administration and enforcement of Safety and Health in WA. Places emphasis on the prevention of accidents and injury</w:t>
            </w:r>
          </w:p>
        </w:tc>
      </w:tr>
      <w:tr w:rsidR="00407089" w:rsidRPr="002E1830" w14:paraId="4B9FA35E"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B6DDE8" w:themeFill="accent5" w:themeFillTint="66"/>
          </w:tcPr>
          <w:p w14:paraId="2DA1E322"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Disability Services Act 1993</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B6DDE8" w:themeFill="accent5" w:themeFillTint="66"/>
          </w:tcPr>
          <w:p w14:paraId="36934A8C" w14:textId="77777777" w:rsidR="00407089" w:rsidRPr="002E1830" w:rsidRDefault="00407089" w:rsidP="00407089">
            <w:pPr>
              <w:autoSpaceDE w:val="0"/>
              <w:autoSpaceDN w:val="0"/>
              <w:adjustRightInd w:val="0"/>
              <w:spacing w:before="60" w:after="60"/>
              <w:rPr>
                <w:rFonts w:ascii="Arial Narrow" w:hAnsi="Arial Narrow" w:cs="Arial"/>
                <w:szCs w:val="24"/>
              </w:rPr>
            </w:pPr>
            <w:r w:rsidRPr="002E1830">
              <w:rPr>
                <w:rFonts w:ascii="Arial Narrow" w:hAnsi="Arial Narrow" w:cs="Arial"/>
                <w:bCs/>
                <w:szCs w:val="24"/>
                <w:lang w:val="en-US" w:eastAsia="en-AU"/>
              </w:rPr>
              <w:t>An Act for the establishment of the Disability Services Commission and the Ministerial Advisory Council on Disability, for the furtherance of principles applicable to people with disabilities, for the funding and provision of services to such people that meet certain objectives, for the resolution of complaints by such people, and for related purposes.</w:t>
            </w:r>
          </w:p>
        </w:tc>
      </w:tr>
      <w:tr w:rsidR="00407089" w:rsidRPr="002E1830" w14:paraId="3DA7D0C8" w14:textId="77777777" w:rsidTr="00971D7D">
        <w:trPr>
          <w:cantSplit/>
        </w:trPr>
        <w:tc>
          <w:tcPr>
            <w:tcW w:w="3510" w:type="dxa"/>
            <w:tcBorders>
              <w:top w:val="single" w:sz="8" w:space="0" w:color="FFFFFF" w:themeColor="background1"/>
              <w:left w:val="single" w:sz="8" w:space="0" w:color="auto"/>
              <w:bottom w:val="single" w:sz="8" w:space="0" w:color="FFFFFF" w:themeColor="background1"/>
              <w:right w:val="thinThickSmallGap" w:sz="24" w:space="0" w:color="auto"/>
            </w:tcBorders>
            <w:shd w:val="clear" w:color="auto" w:fill="DAEEF3" w:themeFill="accent5" w:themeFillTint="33"/>
          </w:tcPr>
          <w:p w14:paraId="464B2411"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Code of Practice Working Hours 2006</w:t>
            </w:r>
          </w:p>
        </w:tc>
        <w:tc>
          <w:tcPr>
            <w:tcW w:w="595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AEEF3" w:themeFill="accent5" w:themeFillTint="33"/>
          </w:tcPr>
          <w:p w14:paraId="4BB36EA0"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Provides guidance for employers and workers on the management of Safety and Health hazards and risks commonly associated with working hour arrangements.</w:t>
            </w:r>
          </w:p>
        </w:tc>
      </w:tr>
      <w:tr w:rsidR="00407089" w:rsidRPr="002E1830" w14:paraId="56F2A7E0" w14:textId="77777777" w:rsidTr="00971D7D">
        <w:trPr>
          <w:cantSplit/>
        </w:trPr>
        <w:tc>
          <w:tcPr>
            <w:tcW w:w="3510" w:type="dxa"/>
            <w:tcBorders>
              <w:top w:val="single" w:sz="8" w:space="0" w:color="FFFFFF" w:themeColor="background1"/>
              <w:left w:val="single" w:sz="8" w:space="0" w:color="auto"/>
              <w:bottom w:val="single" w:sz="8" w:space="0" w:color="auto"/>
              <w:right w:val="thinThickSmallGap" w:sz="24" w:space="0" w:color="auto"/>
            </w:tcBorders>
            <w:shd w:val="clear" w:color="auto" w:fill="B6DDE8" w:themeFill="accent5" w:themeFillTint="66"/>
          </w:tcPr>
          <w:p w14:paraId="6A016EA2"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Australian Standards</w:t>
            </w:r>
          </w:p>
        </w:tc>
        <w:tc>
          <w:tcPr>
            <w:tcW w:w="5954" w:type="dxa"/>
            <w:tcBorders>
              <w:top w:val="single" w:sz="8" w:space="0" w:color="FFFFFF" w:themeColor="background1"/>
              <w:left w:val="thinThickSmallGap" w:sz="24" w:space="0" w:color="auto"/>
              <w:bottom w:val="single" w:sz="8" w:space="0" w:color="auto"/>
              <w:right w:val="single" w:sz="8" w:space="0" w:color="auto"/>
            </w:tcBorders>
            <w:shd w:val="clear" w:color="auto" w:fill="B6DDE8" w:themeFill="accent5" w:themeFillTint="66"/>
          </w:tcPr>
          <w:p w14:paraId="53FE1EDB" w14:textId="77777777" w:rsidR="00407089" w:rsidRPr="002E1830" w:rsidRDefault="00407089" w:rsidP="00407089">
            <w:pPr>
              <w:pStyle w:val="BodyText"/>
              <w:spacing w:before="60" w:after="60"/>
              <w:rPr>
                <w:rFonts w:ascii="Arial Narrow" w:hAnsi="Arial Narrow" w:cs="Arial"/>
                <w:szCs w:val="24"/>
              </w:rPr>
            </w:pPr>
            <w:r w:rsidRPr="002E1830">
              <w:rPr>
                <w:rFonts w:ascii="Arial Narrow" w:hAnsi="Arial Narrow" w:cs="Arial"/>
                <w:szCs w:val="24"/>
              </w:rPr>
              <w:t>Standards are published documents setting out specifications and procedures designed to ensure products, services and systems are safe, reliable and consistently perform the way they were intended to. They establish a common language which defines quality and safety criteria.</w:t>
            </w:r>
          </w:p>
        </w:tc>
      </w:tr>
    </w:tbl>
    <w:p w14:paraId="361F20EE" w14:textId="77777777" w:rsidR="00CB636E" w:rsidRDefault="00CB636E" w:rsidP="00407089">
      <w:pPr>
        <w:pStyle w:val="BodyText"/>
        <w:rPr>
          <w:rFonts w:cs="Arial"/>
          <w:szCs w:val="24"/>
        </w:rPr>
      </w:pPr>
    </w:p>
    <w:p w14:paraId="633F1B28" w14:textId="77777777" w:rsidR="00CB636E" w:rsidRDefault="00CB636E" w:rsidP="00A050AE">
      <w:pPr>
        <w:pStyle w:val="BodyText"/>
      </w:pPr>
      <w:r>
        <w:br w:type="page"/>
      </w:r>
    </w:p>
    <w:p w14:paraId="0701BF6D" w14:textId="77777777" w:rsidR="00CB636E" w:rsidRDefault="00CB636E" w:rsidP="00140CAE">
      <w:pPr>
        <w:pStyle w:val="Heading2"/>
      </w:pPr>
      <w:bookmarkStart w:id="73" w:name="_Toc56419108"/>
      <w:r w:rsidRPr="00CF4808">
        <w:lastRenderedPageBreak/>
        <w:t>Appendix B</w:t>
      </w:r>
      <w:r w:rsidRPr="00CF4808">
        <w:tab/>
      </w:r>
      <w:r w:rsidR="00CF4808">
        <w:t xml:space="preserve">Planned </w:t>
      </w:r>
      <w:r w:rsidR="00863D36" w:rsidRPr="00CF4808">
        <w:t xml:space="preserve">Footpath </w:t>
      </w:r>
      <w:r w:rsidRPr="00CF4808">
        <w:t>Renewals for 202</w:t>
      </w:r>
      <w:r w:rsidR="003F227C" w:rsidRPr="00CF4808">
        <w:t>0</w:t>
      </w:r>
      <w:r w:rsidRPr="00CF4808">
        <w:t>/2</w:t>
      </w:r>
      <w:bookmarkEnd w:id="73"/>
      <w:r w:rsidR="003F227C" w:rsidRPr="00CF4808">
        <w:t>1</w:t>
      </w:r>
    </w:p>
    <w:tbl>
      <w:tblPr>
        <w:tblW w:w="8804" w:type="dxa"/>
        <w:tblInd w:w="93" w:type="dxa"/>
        <w:tblLook w:val="04A0" w:firstRow="1" w:lastRow="0" w:firstColumn="1" w:lastColumn="0" w:noHBand="0" w:noVBand="1"/>
      </w:tblPr>
      <w:tblGrid>
        <w:gridCol w:w="6111"/>
        <w:gridCol w:w="2693"/>
      </w:tblGrid>
      <w:tr w:rsidR="00263688" w:rsidRPr="00263688" w14:paraId="4DF5498B" w14:textId="77777777" w:rsidTr="00C25FBD">
        <w:trPr>
          <w:trHeight w:val="315"/>
        </w:trPr>
        <w:tc>
          <w:tcPr>
            <w:tcW w:w="6111" w:type="dxa"/>
            <w:tcBorders>
              <w:top w:val="single" w:sz="8" w:space="0" w:color="auto"/>
              <w:left w:val="single" w:sz="8" w:space="0" w:color="auto"/>
              <w:bottom w:val="single" w:sz="12" w:space="0" w:color="FFFFFF"/>
              <w:right w:val="single" w:sz="8" w:space="0" w:color="FFFFFF"/>
            </w:tcBorders>
            <w:shd w:val="clear" w:color="000000" w:fill="4BACC6"/>
            <w:noWrap/>
            <w:vAlign w:val="center"/>
            <w:hideMark/>
          </w:tcPr>
          <w:p w14:paraId="69196FAB" w14:textId="77777777" w:rsidR="00263688" w:rsidRPr="00263688" w:rsidRDefault="00263688" w:rsidP="00263688">
            <w:pPr>
              <w:spacing w:after="0" w:line="240" w:lineRule="auto"/>
              <w:jc w:val="center"/>
              <w:rPr>
                <w:rFonts w:cs="Arial"/>
                <w:b/>
                <w:bCs/>
                <w:i/>
                <w:iCs/>
                <w:color w:val="FFFFFF"/>
                <w:szCs w:val="24"/>
                <w:lang w:eastAsia="en-AU"/>
              </w:rPr>
            </w:pPr>
            <w:r w:rsidRPr="00263688">
              <w:rPr>
                <w:rFonts w:cs="Arial"/>
                <w:b/>
                <w:bCs/>
                <w:i/>
                <w:iCs/>
                <w:color w:val="FFFFFF"/>
                <w:szCs w:val="24"/>
                <w:lang w:eastAsia="en-AU"/>
              </w:rPr>
              <w:t>Footpath Renewal Project Description</w:t>
            </w:r>
          </w:p>
        </w:tc>
        <w:tc>
          <w:tcPr>
            <w:tcW w:w="2693" w:type="dxa"/>
            <w:tcBorders>
              <w:top w:val="single" w:sz="8" w:space="0" w:color="auto"/>
              <w:left w:val="nil"/>
              <w:bottom w:val="single" w:sz="12" w:space="0" w:color="FFFFFF"/>
              <w:right w:val="single" w:sz="8" w:space="0" w:color="auto"/>
            </w:tcBorders>
            <w:shd w:val="clear" w:color="000000" w:fill="4BACC6"/>
            <w:noWrap/>
            <w:vAlign w:val="center"/>
            <w:hideMark/>
          </w:tcPr>
          <w:p w14:paraId="0FDDE05F" w14:textId="77777777" w:rsidR="00263688" w:rsidRPr="00263688" w:rsidRDefault="00263688" w:rsidP="00263688">
            <w:pPr>
              <w:spacing w:after="0" w:line="240" w:lineRule="auto"/>
              <w:jc w:val="center"/>
              <w:rPr>
                <w:rFonts w:cs="Arial"/>
                <w:b/>
                <w:bCs/>
                <w:i/>
                <w:iCs/>
                <w:color w:val="FFFFFF"/>
                <w:szCs w:val="24"/>
                <w:lang w:eastAsia="en-AU"/>
              </w:rPr>
            </w:pPr>
            <w:r w:rsidRPr="00263688">
              <w:rPr>
                <w:rFonts w:cs="Arial"/>
                <w:b/>
                <w:bCs/>
                <w:i/>
                <w:iCs/>
                <w:color w:val="FFFFFF"/>
                <w:szCs w:val="24"/>
                <w:lang w:eastAsia="en-AU"/>
              </w:rPr>
              <w:t>Adopted Budget $</w:t>
            </w:r>
          </w:p>
        </w:tc>
      </w:tr>
      <w:tr w:rsidR="00263688" w:rsidRPr="00263688" w14:paraId="3059821B" w14:textId="77777777" w:rsidTr="00C25FBD">
        <w:trPr>
          <w:trHeight w:val="330"/>
        </w:trPr>
        <w:tc>
          <w:tcPr>
            <w:tcW w:w="6111" w:type="dxa"/>
            <w:tcBorders>
              <w:top w:val="nil"/>
              <w:left w:val="single" w:sz="8" w:space="0" w:color="auto"/>
              <w:bottom w:val="single" w:sz="8" w:space="0" w:color="FFFFFF"/>
              <w:right w:val="single" w:sz="8" w:space="0" w:color="FFFFFF"/>
            </w:tcBorders>
            <w:shd w:val="clear" w:color="000000" w:fill="DAEEF3"/>
            <w:noWrap/>
            <w:vAlign w:val="center"/>
            <w:hideMark/>
          </w:tcPr>
          <w:p w14:paraId="561339B4"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AMITY BOULEVARD (BAUDIN PL - TOULON PL)</w:t>
            </w:r>
          </w:p>
        </w:tc>
        <w:tc>
          <w:tcPr>
            <w:tcW w:w="2693" w:type="dxa"/>
            <w:tcBorders>
              <w:top w:val="nil"/>
              <w:left w:val="nil"/>
              <w:bottom w:val="single" w:sz="8" w:space="0" w:color="FFFFFF"/>
              <w:right w:val="single" w:sz="8" w:space="0" w:color="auto"/>
            </w:tcBorders>
            <w:shd w:val="clear" w:color="000000" w:fill="DAEEF3"/>
            <w:noWrap/>
            <w:vAlign w:val="center"/>
            <w:hideMark/>
          </w:tcPr>
          <w:p w14:paraId="3A9990EC"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15,864</w:t>
            </w:r>
          </w:p>
        </w:tc>
      </w:tr>
      <w:tr w:rsidR="00263688" w:rsidRPr="00263688" w14:paraId="6B3DDAAB"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B6DDE8"/>
            <w:noWrap/>
            <w:vAlign w:val="center"/>
            <w:hideMark/>
          </w:tcPr>
          <w:p w14:paraId="74E10D83"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ARLINGTON LOOP (AIRLE PL- HOWICK COURT)</w:t>
            </w:r>
          </w:p>
        </w:tc>
        <w:tc>
          <w:tcPr>
            <w:tcW w:w="2693" w:type="dxa"/>
            <w:tcBorders>
              <w:top w:val="nil"/>
              <w:left w:val="nil"/>
              <w:bottom w:val="single" w:sz="8" w:space="0" w:color="FFFFFF"/>
              <w:right w:val="single" w:sz="8" w:space="0" w:color="auto"/>
            </w:tcBorders>
            <w:shd w:val="clear" w:color="000000" w:fill="B6DDE8"/>
            <w:noWrap/>
            <w:vAlign w:val="center"/>
            <w:hideMark/>
          </w:tcPr>
          <w:p w14:paraId="78D05445"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10,204</w:t>
            </w:r>
          </w:p>
        </w:tc>
      </w:tr>
      <w:tr w:rsidR="00263688" w:rsidRPr="00263688" w14:paraId="0B763417"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DAEEF3"/>
            <w:noWrap/>
            <w:vAlign w:val="center"/>
            <w:hideMark/>
          </w:tcPr>
          <w:p w14:paraId="3EFAB8D9"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 xml:space="preserve">ATWELL CL - CEPA </w:t>
            </w:r>
          </w:p>
        </w:tc>
        <w:tc>
          <w:tcPr>
            <w:tcW w:w="2693" w:type="dxa"/>
            <w:tcBorders>
              <w:top w:val="nil"/>
              <w:left w:val="nil"/>
              <w:bottom w:val="single" w:sz="8" w:space="0" w:color="FFFFFF"/>
              <w:right w:val="single" w:sz="8" w:space="0" w:color="auto"/>
            </w:tcBorders>
            <w:shd w:val="clear" w:color="000000" w:fill="DAEEF3"/>
            <w:noWrap/>
            <w:vAlign w:val="center"/>
            <w:hideMark/>
          </w:tcPr>
          <w:p w14:paraId="339237DF"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47,837</w:t>
            </w:r>
          </w:p>
        </w:tc>
      </w:tr>
      <w:tr w:rsidR="00263688" w:rsidRPr="00263688" w14:paraId="443F9B06"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B6DDE8"/>
            <w:noWrap/>
            <w:vAlign w:val="center"/>
            <w:hideMark/>
          </w:tcPr>
          <w:p w14:paraId="50B9142C"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AW (JERVOISE BAY - O'KANE COURT)</w:t>
            </w:r>
          </w:p>
        </w:tc>
        <w:tc>
          <w:tcPr>
            <w:tcW w:w="2693" w:type="dxa"/>
            <w:tcBorders>
              <w:top w:val="nil"/>
              <w:left w:val="nil"/>
              <w:bottom w:val="single" w:sz="8" w:space="0" w:color="FFFFFF"/>
              <w:right w:val="single" w:sz="8" w:space="0" w:color="auto"/>
            </w:tcBorders>
            <w:shd w:val="clear" w:color="000000" w:fill="B6DDE8"/>
            <w:noWrap/>
            <w:vAlign w:val="center"/>
            <w:hideMark/>
          </w:tcPr>
          <w:p w14:paraId="6747B034"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50,044</w:t>
            </w:r>
          </w:p>
        </w:tc>
      </w:tr>
      <w:tr w:rsidR="00263688" w:rsidRPr="00263688" w14:paraId="46C88C49"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DAEEF3"/>
            <w:noWrap/>
            <w:vAlign w:val="center"/>
            <w:hideMark/>
          </w:tcPr>
          <w:p w14:paraId="572B10BE"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AW (NYYERBUP CT - O'KANE COURT)</w:t>
            </w:r>
          </w:p>
        </w:tc>
        <w:tc>
          <w:tcPr>
            <w:tcW w:w="2693" w:type="dxa"/>
            <w:tcBorders>
              <w:top w:val="nil"/>
              <w:left w:val="nil"/>
              <w:bottom w:val="single" w:sz="8" w:space="0" w:color="FFFFFF"/>
              <w:right w:val="single" w:sz="8" w:space="0" w:color="auto"/>
            </w:tcBorders>
            <w:shd w:val="clear" w:color="000000" w:fill="DAEEF3"/>
            <w:noWrap/>
            <w:vAlign w:val="center"/>
            <w:hideMark/>
          </w:tcPr>
          <w:p w14:paraId="2A2E2184"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116,802</w:t>
            </w:r>
          </w:p>
        </w:tc>
      </w:tr>
      <w:tr w:rsidR="00263688" w:rsidRPr="00263688" w14:paraId="2AD68B7C"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B6DDE8"/>
            <w:noWrap/>
            <w:vAlign w:val="center"/>
            <w:hideMark/>
          </w:tcPr>
          <w:p w14:paraId="16BAA35D"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COCKBURN RD - WOODMAN POINT</w:t>
            </w:r>
          </w:p>
        </w:tc>
        <w:tc>
          <w:tcPr>
            <w:tcW w:w="2693" w:type="dxa"/>
            <w:tcBorders>
              <w:top w:val="nil"/>
              <w:left w:val="nil"/>
              <w:bottom w:val="single" w:sz="8" w:space="0" w:color="FFFFFF"/>
              <w:right w:val="single" w:sz="8" w:space="0" w:color="auto"/>
            </w:tcBorders>
            <w:shd w:val="clear" w:color="000000" w:fill="B6DDE8"/>
            <w:noWrap/>
            <w:vAlign w:val="center"/>
            <w:hideMark/>
          </w:tcPr>
          <w:p w14:paraId="1119EE45"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57,693</w:t>
            </w:r>
          </w:p>
        </w:tc>
      </w:tr>
      <w:tr w:rsidR="00263688" w:rsidRPr="00263688" w14:paraId="18E113EC"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DAEEF3"/>
            <w:noWrap/>
            <w:vAlign w:val="center"/>
            <w:hideMark/>
          </w:tcPr>
          <w:p w14:paraId="03B1D34A"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COCKBURN RD (JESSE LEE- ZEDORA TURN)</w:t>
            </w:r>
          </w:p>
        </w:tc>
        <w:tc>
          <w:tcPr>
            <w:tcW w:w="2693" w:type="dxa"/>
            <w:tcBorders>
              <w:top w:val="nil"/>
              <w:left w:val="nil"/>
              <w:bottom w:val="single" w:sz="8" w:space="0" w:color="FFFFFF"/>
              <w:right w:val="single" w:sz="8" w:space="0" w:color="auto"/>
            </w:tcBorders>
            <w:shd w:val="clear" w:color="000000" w:fill="DAEEF3"/>
            <w:noWrap/>
            <w:vAlign w:val="center"/>
            <w:hideMark/>
          </w:tcPr>
          <w:p w14:paraId="58037D0C"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53,294</w:t>
            </w:r>
          </w:p>
        </w:tc>
      </w:tr>
      <w:tr w:rsidR="00263688" w:rsidRPr="00263688" w14:paraId="61431C5E" w14:textId="77777777" w:rsidTr="00C25FBD">
        <w:trPr>
          <w:trHeight w:val="315"/>
        </w:trPr>
        <w:tc>
          <w:tcPr>
            <w:tcW w:w="6111" w:type="dxa"/>
            <w:tcBorders>
              <w:top w:val="nil"/>
              <w:left w:val="single" w:sz="8" w:space="0" w:color="auto"/>
              <w:bottom w:val="single" w:sz="8" w:space="0" w:color="FFFFFF"/>
              <w:right w:val="single" w:sz="8" w:space="0" w:color="FFFFFF"/>
            </w:tcBorders>
            <w:shd w:val="clear" w:color="000000" w:fill="B6DDE8"/>
            <w:noWrap/>
            <w:vAlign w:val="center"/>
            <w:hideMark/>
          </w:tcPr>
          <w:p w14:paraId="0DC6010E"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PRINSEP RD IMLAH TO BERRIGAN</w:t>
            </w:r>
          </w:p>
        </w:tc>
        <w:tc>
          <w:tcPr>
            <w:tcW w:w="2693" w:type="dxa"/>
            <w:tcBorders>
              <w:top w:val="nil"/>
              <w:left w:val="nil"/>
              <w:bottom w:val="single" w:sz="8" w:space="0" w:color="FFFFFF"/>
              <w:right w:val="single" w:sz="8" w:space="0" w:color="auto"/>
            </w:tcBorders>
            <w:shd w:val="clear" w:color="000000" w:fill="B6DDE8"/>
            <w:noWrap/>
            <w:vAlign w:val="center"/>
            <w:hideMark/>
          </w:tcPr>
          <w:p w14:paraId="00233208"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84,900</w:t>
            </w:r>
          </w:p>
        </w:tc>
      </w:tr>
      <w:tr w:rsidR="00263688" w:rsidRPr="00263688" w14:paraId="4BE92520" w14:textId="77777777" w:rsidTr="00971D7D">
        <w:trPr>
          <w:trHeight w:val="315"/>
        </w:trPr>
        <w:tc>
          <w:tcPr>
            <w:tcW w:w="6111" w:type="dxa"/>
            <w:tcBorders>
              <w:top w:val="nil"/>
              <w:left w:val="single" w:sz="8" w:space="0" w:color="auto"/>
              <w:bottom w:val="thinThickSmallGap" w:sz="24" w:space="0" w:color="auto"/>
              <w:right w:val="single" w:sz="8" w:space="0" w:color="FFFFFF"/>
            </w:tcBorders>
            <w:shd w:val="clear" w:color="000000" w:fill="DAEEF3"/>
            <w:noWrap/>
            <w:vAlign w:val="center"/>
            <w:hideMark/>
          </w:tcPr>
          <w:p w14:paraId="66A43C95" w14:textId="77777777" w:rsidR="00263688" w:rsidRPr="00263688" w:rsidRDefault="00263688" w:rsidP="00263688">
            <w:pPr>
              <w:spacing w:after="0" w:line="240" w:lineRule="auto"/>
              <w:jc w:val="left"/>
              <w:rPr>
                <w:rFonts w:cs="Arial"/>
                <w:color w:val="000000"/>
                <w:szCs w:val="24"/>
                <w:lang w:eastAsia="en-AU"/>
              </w:rPr>
            </w:pPr>
            <w:r w:rsidRPr="00263688">
              <w:rPr>
                <w:rFonts w:cs="Arial"/>
                <w:color w:val="000000"/>
                <w:szCs w:val="24"/>
                <w:lang w:eastAsia="en-AU"/>
              </w:rPr>
              <w:t>STUART DRIVE - COCKBURN RD INTERSECTION</w:t>
            </w:r>
          </w:p>
        </w:tc>
        <w:tc>
          <w:tcPr>
            <w:tcW w:w="2693" w:type="dxa"/>
            <w:tcBorders>
              <w:top w:val="nil"/>
              <w:left w:val="nil"/>
              <w:bottom w:val="thinThickSmallGap" w:sz="24" w:space="0" w:color="auto"/>
              <w:right w:val="single" w:sz="8" w:space="0" w:color="auto"/>
            </w:tcBorders>
            <w:shd w:val="clear" w:color="000000" w:fill="DAEEF3"/>
            <w:noWrap/>
            <w:vAlign w:val="center"/>
            <w:hideMark/>
          </w:tcPr>
          <w:p w14:paraId="45B500B6" w14:textId="77777777" w:rsidR="00263688" w:rsidRPr="00263688" w:rsidRDefault="00263688" w:rsidP="00971D7D">
            <w:pPr>
              <w:spacing w:after="0" w:line="240" w:lineRule="auto"/>
              <w:jc w:val="center"/>
              <w:rPr>
                <w:rFonts w:cs="Arial"/>
                <w:color w:val="000000"/>
                <w:szCs w:val="24"/>
                <w:lang w:eastAsia="en-AU"/>
              </w:rPr>
            </w:pPr>
            <w:r w:rsidRPr="00263688">
              <w:rPr>
                <w:rFonts w:cs="Arial"/>
                <w:color w:val="000000"/>
                <w:szCs w:val="24"/>
                <w:lang w:eastAsia="en-AU"/>
              </w:rPr>
              <w:t>28,656</w:t>
            </w:r>
          </w:p>
        </w:tc>
      </w:tr>
      <w:tr w:rsidR="00263688" w:rsidRPr="00263688" w14:paraId="2932E161" w14:textId="77777777" w:rsidTr="00971D7D">
        <w:trPr>
          <w:trHeight w:val="330"/>
        </w:trPr>
        <w:tc>
          <w:tcPr>
            <w:tcW w:w="6111" w:type="dxa"/>
            <w:tcBorders>
              <w:top w:val="thinThickSmallGap" w:sz="24" w:space="0" w:color="auto"/>
              <w:left w:val="single" w:sz="8" w:space="0" w:color="auto"/>
              <w:bottom w:val="single" w:sz="8" w:space="0" w:color="auto"/>
              <w:right w:val="single" w:sz="8" w:space="0" w:color="FFFFFF"/>
            </w:tcBorders>
            <w:shd w:val="clear" w:color="auto" w:fill="FFFFFF" w:themeFill="background1"/>
            <w:noWrap/>
            <w:vAlign w:val="center"/>
            <w:hideMark/>
          </w:tcPr>
          <w:p w14:paraId="4A4222C1" w14:textId="77777777" w:rsidR="00263688" w:rsidRPr="00263688" w:rsidRDefault="00263688" w:rsidP="00263688">
            <w:pPr>
              <w:spacing w:after="0" w:line="240" w:lineRule="auto"/>
              <w:jc w:val="left"/>
              <w:rPr>
                <w:rFonts w:cs="Arial"/>
                <w:b/>
                <w:bCs/>
                <w:color w:val="000000"/>
                <w:szCs w:val="24"/>
                <w:lang w:eastAsia="en-AU"/>
              </w:rPr>
            </w:pPr>
            <w:r w:rsidRPr="00263688">
              <w:rPr>
                <w:rFonts w:cs="Arial"/>
                <w:b/>
                <w:bCs/>
                <w:color w:val="000000"/>
                <w:szCs w:val="24"/>
                <w:lang w:eastAsia="en-AU"/>
              </w:rPr>
              <w:t>Total Renewal 2020/21</w:t>
            </w:r>
          </w:p>
        </w:tc>
        <w:tc>
          <w:tcPr>
            <w:tcW w:w="2693" w:type="dxa"/>
            <w:tcBorders>
              <w:top w:val="thinThickSmallGap" w:sz="24" w:space="0" w:color="auto"/>
              <w:left w:val="nil"/>
              <w:bottom w:val="single" w:sz="8" w:space="0" w:color="auto"/>
              <w:right w:val="single" w:sz="8" w:space="0" w:color="auto"/>
            </w:tcBorders>
            <w:shd w:val="clear" w:color="auto" w:fill="FFFFFF" w:themeFill="background1"/>
            <w:noWrap/>
            <w:vAlign w:val="center"/>
            <w:hideMark/>
          </w:tcPr>
          <w:p w14:paraId="663C0FB1" w14:textId="77777777" w:rsidR="00263688" w:rsidRPr="00263688" w:rsidRDefault="00263688" w:rsidP="00971D7D">
            <w:pPr>
              <w:spacing w:after="0" w:line="240" w:lineRule="auto"/>
              <w:jc w:val="center"/>
              <w:rPr>
                <w:rFonts w:cs="Arial"/>
                <w:b/>
                <w:bCs/>
                <w:color w:val="000000"/>
                <w:szCs w:val="24"/>
                <w:lang w:eastAsia="en-AU"/>
              </w:rPr>
            </w:pPr>
            <w:r w:rsidRPr="00263688">
              <w:rPr>
                <w:rFonts w:cs="Arial"/>
                <w:b/>
                <w:bCs/>
                <w:color w:val="000000"/>
                <w:szCs w:val="24"/>
                <w:lang w:eastAsia="en-AU"/>
              </w:rPr>
              <w:t>$465,294</w:t>
            </w:r>
          </w:p>
        </w:tc>
      </w:tr>
    </w:tbl>
    <w:p w14:paraId="1FFD052E" w14:textId="77777777" w:rsidR="00B73A41" w:rsidRDefault="00B73A41" w:rsidP="00616E47">
      <w:pPr>
        <w:keepNext/>
        <w:rPr>
          <w:rFonts w:cs="Arial"/>
          <w:color w:val="0070C0"/>
          <w:szCs w:val="24"/>
        </w:rPr>
      </w:pPr>
      <w:r>
        <w:br w:type="page"/>
      </w:r>
    </w:p>
    <w:p w14:paraId="48BC7F5E" w14:textId="77777777" w:rsidR="00863D36" w:rsidRDefault="00754BB3" w:rsidP="00140CAE">
      <w:pPr>
        <w:pStyle w:val="Heading2"/>
      </w:pPr>
      <w:bookmarkStart w:id="74" w:name="_Toc56419109"/>
      <w:r>
        <w:lastRenderedPageBreak/>
        <w:t>Appendix C</w:t>
      </w:r>
      <w:r w:rsidR="00863D36">
        <w:t xml:space="preserve"> </w:t>
      </w:r>
      <w:r w:rsidR="00863D36">
        <w:tab/>
        <w:t>New Footpaths for 202</w:t>
      </w:r>
      <w:r w:rsidR="00D700A5">
        <w:t>0</w:t>
      </w:r>
      <w:r w:rsidR="00863D36">
        <w:t>/2</w:t>
      </w:r>
      <w:bookmarkEnd w:id="74"/>
      <w:r w:rsidR="00D700A5">
        <w:t>1</w:t>
      </w:r>
    </w:p>
    <w:tbl>
      <w:tblPr>
        <w:tblW w:w="5000" w:type="pct"/>
        <w:tblLook w:val="04A0" w:firstRow="1" w:lastRow="0" w:firstColumn="1" w:lastColumn="0" w:noHBand="0" w:noVBand="1"/>
      </w:tblPr>
      <w:tblGrid>
        <w:gridCol w:w="7379"/>
        <w:gridCol w:w="2284"/>
      </w:tblGrid>
      <w:tr w:rsidR="00C70E8E" w:rsidRPr="00C70E8E" w14:paraId="36D5858F" w14:textId="77777777" w:rsidTr="00C25FBD">
        <w:trPr>
          <w:trHeight w:val="345"/>
        </w:trPr>
        <w:tc>
          <w:tcPr>
            <w:tcW w:w="3818" w:type="pct"/>
            <w:tcBorders>
              <w:top w:val="single" w:sz="8" w:space="0" w:color="auto"/>
              <w:left w:val="single" w:sz="8" w:space="0" w:color="auto"/>
              <w:bottom w:val="single" w:sz="12" w:space="0" w:color="FFFFFF"/>
              <w:right w:val="single" w:sz="8" w:space="0" w:color="FFFFFF"/>
            </w:tcBorders>
            <w:shd w:val="clear" w:color="000000" w:fill="4BACC6"/>
            <w:noWrap/>
            <w:vAlign w:val="center"/>
            <w:hideMark/>
          </w:tcPr>
          <w:p w14:paraId="026F01D5" w14:textId="77777777" w:rsidR="00C70E8E" w:rsidRPr="00675884" w:rsidRDefault="00675884" w:rsidP="00C70E8E">
            <w:pPr>
              <w:spacing w:after="0"/>
              <w:jc w:val="center"/>
              <w:rPr>
                <w:rFonts w:cs="Arial"/>
                <w:b/>
                <w:bCs/>
                <w:i/>
                <w:iCs/>
                <w:color w:val="FFFFFF"/>
                <w:szCs w:val="24"/>
                <w:lang w:eastAsia="en-AU"/>
              </w:rPr>
            </w:pPr>
            <w:r>
              <w:rPr>
                <w:rFonts w:cs="Arial"/>
                <w:b/>
                <w:bCs/>
                <w:i/>
                <w:iCs/>
                <w:color w:val="FFFFFF"/>
                <w:szCs w:val="24"/>
                <w:lang w:eastAsia="en-AU"/>
              </w:rPr>
              <w:t xml:space="preserve">New Footpath </w:t>
            </w:r>
            <w:r w:rsidR="00C70E8E" w:rsidRPr="00675884">
              <w:rPr>
                <w:rFonts w:cs="Arial"/>
                <w:b/>
                <w:bCs/>
                <w:i/>
                <w:iCs/>
                <w:color w:val="FFFFFF"/>
                <w:szCs w:val="24"/>
                <w:lang w:eastAsia="en-AU"/>
              </w:rPr>
              <w:t>Project Description</w:t>
            </w:r>
          </w:p>
        </w:tc>
        <w:tc>
          <w:tcPr>
            <w:tcW w:w="1182" w:type="pct"/>
            <w:tcBorders>
              <w:top w:val="single" w:sz="8" w:space="0" w:color="auto"/>
              <w:left w:val="single" w:sz="4" w:space="0" w:color="FFFFFF"/>
              <w:bottom w:val="single" w:sz="12" w:space="0" w:color="FFFFFF"/>
              <w:right w:val="single" w:sz="8" w:space="0" w:color="auto"/>
            </w:tcBorders>
            <w:shd w:val="clear" w:color="000000" w:fill="4BACC6"/>
            <w:noWrap/>
            <w:vAlign w:val="center"/>
            <w:hideMark/>
          </w:tcPr>
          <w:p w14:paraId="77A60332" w14:textId="77777777" w:rsidR="00C70E8E" w:rsidRPr="00675884" w:rsidRDefault="00C70E8E" w:rsidP="00971D7D">
            <w:pPr>
              <w:spacing w:after="0"/>
              <w:jc w:val="center"/>
              <w:rPr>
                <w:rFonts w:cs="Arial"/>
                <w:b/>
                <w:bCs/>
                <w:i/>
                <w:iCs/>
                <w:color w:val="FFFFFF"/>
                <w:szCs w:val="24"/>
                <w:lang w:eastAsia="en-AU"/>
              </w:rPr>
            </w:pPr>
            <w:r w:rsidRPr="00675884">
              <w:rPr>
                <w:rFonts w:cs="Arial"/>
                <w:b/>
                <w:bCs/>
                <w:i/>
                <w:iCs/>
                <w:color w:val="FFFFFF"/>
                <w:szCs w:val="24"/>
                <w:lang w:eastAsia="en-AU"/>
              </w:rPr>
              <w:t>Adopted Budget</w:t>
            </w:r>
            <w:r w:rsidR="00675884">
              <w:rPr>
                <w:rFonts w:cs="Arial"/>
                <w:b/>
                <w:bCs/>
                <w:i/>
                <w:iCs/>
                <w:color w:val="FFFFFF"/>
                <w:szCs w:val="24"/>
                <w:lang w:eastAsia="en-AU"/>
              </w:rPr>
              <w:t xml:space="preserve"> $</w:t>
            </w:r>
          </w:p>
        </w:tc>
      </w:tr>
      <w:tr w:rsidR="00C70E8E" w:rsidRPr="00C70E8E" w14:paraId="3E55E1FA"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38719B30"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BEEDLEUP LOOP#16 TO PARKWAY</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795B4AEA"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45,278</w:t>
            </w:r>
          </w:p>
        </w:tc>
      </w:tr>
      <w:tr w:rsidR="00C70E8E" w:rsidRPr="00C70E8E" w14:paraId="291586E9"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7FCB0E1B"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BIRKETT AVE ROACH TO SENICO</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2BE91D4B"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21,550</w:t>
            </w:r>
          </w:p>
        </w:tc>
      </w:tr>
      <w:tr w:rsidR="00C70E8E" w:rsidRPr="00C70E8E" w14:paraId="2EA347E7"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39E5691E"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BP OIL PATH STAGE 2 PHONIX TO ANGUS</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30FE80E3"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120,000</w:t>
            </w:r>
          </w:p>
        </w:tc>
      </w:tr>
      <w:tr w:rsidR="00C70E8E" w:rsidRPr="00C70E8E" w14:paraId="6933567F"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490A2EAD"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DATER CLOSE BIRKETT TO SENICO</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26AD80CF"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18,673</w:t>
            </w:r>
          </w:p>
        </w:tc>
      </w:tr>
      <w:tr w:rsidR="00C70E8E" w:rsidRPr="00C70E8E" w14:paraId="5BB02FC1"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718A230C"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DORRIGO WAY BRIGGS TO BERRIGAN</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5B6F6630"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24,963</w:t>
            </w:r>
          </w:p>
        </w:tc>
      </w:tr>
      <w:tr w:rsidR="00C70E8E" w:rsidRPr="00C70E8E" w14:paraId="3B502ED1"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1124E3AC"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DOT/ BIKE BOULEVARD DEMONSTRATION PROJECTS</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4F3EE7D1"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40,000</w:t>
            </w:r>
          </w:p>
        </w:tc>
      </w:tr>
      <w:tr w:rsidR="00C70E8E" w:rsidRPr="00C70E8E" w14:paraId="26C35E85"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0E20E55D"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GAUNT ROAD BOLINBROKE TO SUSSEX</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1F0BE7AB"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50,215</w:t>
            </w:r>
          </w:p>
        </w:tc>
      </w:tr>
      <w:tr w:rsidR="00C70E8E" w:rsidRPr="00C70E8E" w14:paraId="61FD72F7"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300DCE2A"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HAMILTON RD LINK TO LAKE COOGEE FOOTBRIDGE</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1CAADD6D"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108,000</w:t>
            </w:r>
          </w:p>
        </w:tc>
      </w:tr>
      <w:tr w:rsidR="00C70E8E" w:rsidRPr="00C70E8E" w14:paraId="59C536FC"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53305BCD"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HOPE ROAD SHARED PATH WABN GRANT APPLICATION</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013E9ACC"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580,000</w:t>
            </w:r>
          </w:p>
        </w:tc>
      </w:tr>
      <w:tr w:rsidR="00C70E8E" w:rsidRPr="00C70E8E" w14:paraId="6A6BCC45"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7DDB4832"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LINK PATH THOMAS TO BRIGGS</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606DABFC"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121,850</w:t>
            </w:r>
          </w:p>
        </w:tc>
      </w:tr>
      <w:tr w:rsidR="00C70E8E" w:rsidRPr="00C70E8E" w14:paraId="3A40AC85"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44885838"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LYON ROAD FOOTPATH</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3DAD3E6D"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30,000</w:t>
            </w:r>
          </w:p>
        </w:tc>
      </w:tr>
      <w:tr w:rsidR="00C70E8E" w:rsidRPr="00C70E8E" w14:paraId="4A06FEA8"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5E274ABF"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MANBERRY WAY #42 TO WILLIAMBURY DR</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246B78D3"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5,875</w:t>
            </w:r>
          </w:p>
        </w:tc>
      </w:tr>
      <w:tr w:rsidR="00C70E8E" w:rsidRPr="00C70E8E" w14:paraId="3C1A6DCE"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0964623A"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MERVALE IVANKOVICH TO EASTERN SIDE PRIMARY SCHOOL</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6B1913D3"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12,533</w:t>
            </w:r>
          </w:p>
        </w:tc>
      </w:tr>
      <w:tr w:rsidR="00C70E8E" w:rsidRPr="00C70E8E" w14:paraId="0CA23393"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5CF33DE4"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MINOR FOOTPATHS (CW3891)</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7A9A4DA9"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85,000</w:t>
            </w:r>
          </w:p>
        </w:tc>
      </w:tr>
      <w:tr w:rsidR="00C70E8E" w:rsidRPr="00C70E8E" w14:paraId="500108C1"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45A14686"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PARKES ROAD OSPREY TO OMEO</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571B5E64"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95,925</w:t>
            </w:r>
          </w:p>
        </w:tc>
      </w:tr>
      <w:tr w:rsidR="00C70E8E" w:rsidRPr="00C70E8E" w14:paraId="30B96282"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52B9B991"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 xml:space="preserve">PERI </w:t>
            </w:r>
            <w:proofErr w:type="gramStart"/>
            <w:r w:rsidRPr="00C70E8E">
              <w:rPr>
                <w:rFonts w:cs="Arial"/>
                <w:color w:val="000000"/>
                <w:szCs w:val="24"/>
                <w:lang w:eastAsia="en-AU"/>
              </w:rPr>
              <w:t>END  PERLINTE</w:t>
            </w:r>
            <w:proofErr w:type="gramEnd"/>
            <w:r w:rsidRPr="00C70E8E">
              <w:rPr>
                <w:rFonts w:cs="Arial"/>
                <w:color w:val="000000"/>
                <w:szCs w:val="24"/>
                <w:lang w:eastAsia="en-AU"/>
              </w:rPr>
              <w:t xml:space="preserve"> TO CAR PARK</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3A10C745"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35,417</w:t>
            </w:r>
          </w:p>
        </w:tc>
      </w:tr>
      <w:tr w:rsidR="00C70E8E" w:rsidRPr="00C70E8E" w14:paraId="54C3B265"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5304D0CB"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PRINSEP IMLAH TO FREMANTLE STEEL</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7ACAE518"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86,658</w:t>
            </w:r>
          </w:p>
        </w:tc>
      </w:tr>
      <w:tr w:rsidR="00C70E8E" w:rsidRPr="00C70E8E" w14:paraId="53F0976E"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729F9D16"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PRINSEP ROAD #34 TO BERRIGAN</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705A515F"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69,045</w:t>
            </w:r>
          </w:p>
        </w:tc>
      </w:tr>
      <w:tr w:rsidR="00C70E8E" w:rsidRPr="00C70E8E" w14:paraId="3DD67C97"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4FEE42C8"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PROSPERO CRESCENT CORDELIA TO STEPHANO</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0284DB1C"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18,788</w:t>
            </w:r>
          </w:p>
        </w:tc>
      </w:tr>
      <w:tr w:rsidR="00C70E8E" w:rsidRPr="00C70E8E" w14:paraId="645CE0A1"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68768845"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THE GARAGE SCHOOL KISS &amp; RIDE TO BUS SHELTER</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2656A0A0"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49,350</w:t>
            </w:r>
          </w:p>
        </w:tc>
      </w:tr>
      <w:tr w:rsidR="00C70E8E" w:rsidRPr="00C70E8E" w14:paraId="4043231C"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DAEEF3"/>
            <w:noWrap/>
            <w:vAlign w:val="center"/>
            <w:hideMark/>
          </w:tcPr>
          <w:p w14:paraId="5A227DC4"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TREVALLYN GARDENS GLENBAWN TO RESERVE</w:t>
            </w:r>
          </w:p>
        </w:tc>
        <w:tc>
          <w:tcPr>
            <w:tcW w:w="1182" w:type="pct"/>
            <w:tcBorders>
              <w:top w:val="single" w:sz="4" w:space="0" w:color="FFFFFF"/>
              <w:left w:val="single" w:sz="4" w:space="0" w:color="FFFFFF"/>
              <w:bottom w:val="single" w:sz="8" w:space="0" w:color="FFFFFF"/>
              <w:right w:val="single" w:sz="8" w:space="0" w:color="auto"/>
            </w:tcBorders>
            <w:shd w:val="clear" w:color="000000" w:fill="DAEEF3"/>
            <w:noWrap/>
            <w:vAlign w:val="center"/>
            <w:hideMark/>
          </w:tcPr>
          <w:p w14:paraId="783FBD03"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22,394</w:t>
            </w:r>
          </w:p>
        </w:tc>
      </w:tr>
      <w:tr w:rsidR="00C70E8E" w:rsidRPr="00C70E8E" w14:paraId="6415B74C" w14:textId="77777777" w:rsidTr="00C25FBD">
        <w:trPr>
          <w:trHeight w:val="402"/>
        </w:trPr>
        <w:tc>
          <w:tcPr>
            <w:tcW w:w="3818" w:type="pct"/>
            <w:tcBorders>
              <w:top w:val="single" w:sz="4" w:space="0" w:color="FFFFFF"/>
              <w:left w:val="single" w:sz="8" w:space="0" w:color="auto"/>
              <w:bottom w:val="single" w:sz="8" w:space="0" w:color="FFFFFF"/>
              <w:right w:val="single" w:sz="8" w:space="0" w:color="FFFFFF"/>
            </w:tcBorders>
            <w:shd w:val="clear" w:color="000000" w:fill="B6DDE8"/>
            <w:noWrap/>
            <w:vAlign w:val="center"/>
            <w:hideMark/>
          </w:tcPr>
          <w:p w14:paraId="6AA6CF4C" w14:textId="77777777" w:rsidR="00C70E8E" w:rsidRPr="00C70E8E" w:rsidRDefault="00675884" w:rsidP="00C70E8E">
            <w:pPr>
              <w:spacing w:after="0"/>
              <w:jc w:val="left"/>
              <w:rPr>
                <w:rFonts w:cs="Arial"/>
                <w:color w:val="000000"/>
                <w:szCs w:val="24"/>
                <w:lang w:eastAsia="en-AU"/>
              </w:rPr>
            </w:pPr>
            <w:r w:rsidRPr="00C70E8E">
              <w:rPr>
                <w:rFonts w:cs="Arial"/>
                <w:color w:val="000000"/>
                <w:szCs w:val="24"/>
                <w:lang w:eastAsia="en-AU"/>
              </w:rPr>
              <w:t>YANGEBUP ROAD #340 SCHOOL FRONTAGE</w:t>
            </w:r>
          </w:p>
        </w:tc>
        <w:tc>
          <w:tcPr>
            <w:tcW w:w="1182" w:type="pct"/>
            <w:tcBorders>
              <w:top w:val="single" w:sz="4" w:space="0" w:color="FFFFFF"/>
              <w:left w:val="single" w:sz="4" w:space="0" w:color="FFFFFF"/>
              <w:bottom w:val="single" w:sz="8" w:space="0" w:color="FFFFFF"/>
              <w:right w:val="single" w:sz="8" w:space="0" w:color="auto"/>
            </w:tcBorders>
            <w:shd w:val="clear" w:color="000000" w:fill="B6DDE8"/>
            <w:noWrap/>
            <w:vAlign w:val="bottom"/>
            <w:hideMark/>
          </w:tcPr>
          <w:p w14:paraId="1C6B868E" w14:textId="77777777" w:rsidR="00C70E8E" w:rsidRPr="00C70E8E" w:rsidRDefault="00C70E8E" w:rsidP="00971D7D">
            <w:pPr>
              <w:spacing w:after="0"/>
              <w:jc w:val="center"/>
              <w:rPr>
                <w:rFonts w:cs="Arial"/>
                <w:color w:val="000000"/>
                <w:szCs w:val="24"/>
                <w:lang w:eastAsia="en-AU"/>
              </w:rPr>
            </w:pPr>
            <w:r w:rsidRPr="00C70E8E">
              <w:rPr>
                <w:rFonts w:cs="Arial"/>
                <w:color w:val="000000"/>
                <w:szCs w:val="24"/>
                <w:lang w:eastAsia="en-AU"/>
              </w:rPr>
              <w:t>21,345</w:t>
            </w:r>
          </w:p>
        </w:tc>
      </w:tr>
      <w:tr w:rsidR="00C70E8E" w:rsidRPr="00C70E8E" w14:paraId="41818F70" w14:textId="77777777" w:rsidTr="00971D7D">
        <w:trPr>
          <w:trHeight w:val="402"/>
        </w:trPr>
        <w:tc>
          <w:tcPr>
            <w:tcW w:w="3818" w:type="pct"/>
            <w:tcBorders>
              <w:top w:val="single" w:sz="4" w:space="0" w:color="FFFFFF"/>
              <w:left w:val="single" w:sz="8" w:space="0" w:color="auto"/>
              <w:bottom w:val="single" w:sz="8" w:space="0" w:color="auto"/>
              <w:right w:val="single" w:sz="8" w:space="0" w:color="FFFFFF"/>
            </w:tcBorders>
            <w:shd w:val="clear" w:color="auto" w:fill="FFFFFF" w:themeFill="background1"/>
            <w:noWrap/>
            <w:vAlign w:val="center"/>
            <w:hideMark/>
          </w:tcPr>
          <w:p w14:paraId="3025C3EA" w14:textId="77777777" w:rsidR="00C70E8E" w:rsidRPr="00C70E8E" w:rsidRDefault="00C70E8E" w:rsidP="00C70E8E">
            <w:pPr>
              <w:spacing w:after="0"/>
              <w:jc w:val="left"/>
              <w:rPr>
                <w:rFonts w:cs="Arial"/>
                <w:b/>
                <w:bCs/>
                <w:color w:val="000000"/>
                <w:szCs w:val="24"/>
                <w:lang w:eastAsia="en-AU"/>
              </w:rPr>
            </w:pPr>
            <w:r w:rsidRPr="00C70E8E">
              <w:rPr>
                <w:rFonts w:cs="Arial"/>
                <w:b/>
                <w:bCs/>
                <w:color w:val="000000"/>
                <w:szCs w:val="24"/>
                <w:lang w:eastAsia="en-AU"/>
              </w:rPr>
              <w:t xml:space="preserve">Total New </w:t>
            </w:r>
            <w:proofErr w:type="gramStart"/>
            <w:r w:rsidRPr="00C70E8E">
              <w:rPr>
                <w:rFonts w:cs="Arial"/>
                <w:b/>
                <w:bCs/>
                <w:color w:val="000000"/>
                <w:szCs w:val="24"/>
                <w:lang w:eastAsia="en-AU"/>
              </w:rPr>
              <w:t>Footpaths  2020</w:t>
            </w:r>
            <w:proofErr w:type="gramEnd"/>
            <w:r w:rsidRPr="00C70E8E">
              <w:rPr>
                <w:rFonts w:cs="Arial"/>
                <w:b/>
                <w:bCs/>
                <w:color w:val="000000"/>
                <w:szCs w:val="24"/>
                <w:lang w:eastAsia="en-AU"/>
              </w:rPr>
              <w:t>/21</w:t>
            </w:r>
          </w:p>
        </w:tc>
        <w:tc>
          <w:tcPr>
            <w:tcW w:w="1182" w:type="pct"/>
            <w:tcBorders>
              <w:top w:val="single" w:sz="4" w:space="0" w:color="FFFFFF"/>
              <w:left w:val="single" w:sz="4" w:space="0" w:color="FFFFFF"/>
              <w:bottom w:val="single" w:sz="8" w:space="0" w:color="auto"/>
              <w:right w:val="single" w:sz="8" w:space="0" w:color="auto"/>
            </w:tcBorders>
            <w:shd w:val="clear" w:color="auto" w:fill="FFFFFF" w:themeFill="background1"/>
            <w:noWrap/>
            <w:vAlign w:val="bottom"/>
            <w:hideMark/>
          </w:tcPr>
          <w:p w14:paraId="33D9B1AA" w14:textId="77777777" w:rsidR="00C70E8E" w:rsidRPr="00C70E8E" w:rsidRDefault="008E4836" w:rsidP="00971D7D">
            <w:pPr>
              <w:spacing w:after="0"/>
              <w:jc w:val="center"/>
              <w:rPr>
                <w:rFonts w:cs="Arial"/>
                <w:b/>
                <w:bCs/>
                <w:color w:val="000000"/>
                <w:szCs w:val="24"/>
                <w:lang w:eastAsia="en-AU"/>
              </w:rPr>
            </w:pPr>
            <w:r>
              <w:rPr>
                <w:rFonts w:cs="Arial"/>
                <w:b/>
                <w:bCs/>
                <w:color w:val="000000"/>
                <w:szCs w:val="24"/>
                <w:lang w:eastAsia="en-AU"/>
              </w:rPr>
              <w:t>$</w:t>
            </w:r>
            <w:r w:rsidR="00C70E8E" w:rsidRPr="00C70E8E">
              <w:rPr>
                <w:rFonts w:cs="Arial"/>
                <w:b/>
                <w:bCs/>
                <w:color w:val="000000"/>
                <w:szCs w:val="24"/>
                <w:lang w:eastAsia="en-AU"/>
              </w:rPr>
              <w:t>1,662,859</w:t>
            </w:r>
          </w:p>
        </w:tc>
      </w:tr>
    </w:tbl>
    <w:p w14:paraId="22689CDF" w14:textId="77777777" w:rsidR="004B42AE" w:rsidRDefault="004B42AE" w:rsidP="00EA0A8F">
      <w:pPr>
        <w:pStyle w:val="BodyText"/>
        <w:rPr>
          <w:rFonts w:cs="Arial"/>
          <w:color w:val="0070C0"/>
          <w:szCs w:val="24"/>
        </w:rPr>
      </w:pPr>
      <w:r>
        <w:br w:type="page"/>
      </w:r>
    </w:p>
    <w:p w14:paraId="2256E10B" w14:textId="77777777" w:rsidR="006C1B0D" w:rsidRDefault="006C1B0D" w:rsidP="00140CAE">
      <w:pPr>
        <w:pStyle w:val="Heading2"/>
      </w:pPr>
      <w:bookmarkStart w:id="75" w:name="_Toc56419110"/>
      <w:r>
        <w:lastRenderedPageBreak/>
        <w:t xml:space="preserve">Appendix </w:t>
      </w:r>
      <w:r w:rsidR="0053715C">
        <w:t>D</w:t>
      </w:r>
      <w:r w:rsidR="006D748B">
        <w:tab/>
      </w:r>
      <w:r w:rsidR="00EA2F7D">
        <w:t xml:space="preserve"> </w:t>
      </w:r>
      <w:r>
        <w:t xml:space="preserve">Preliminary Renewals for </w:t>
      </w:r>
      <w:r w:rsidR="00CB636E">
        <w:t>2021/22</w:t>
      </w:r>
      <w:bookmarkEnd w:id="75"/>
    </w:p>
    <w:tbl>
      <w:tblPr>
        <w:tblW w:w="9172" w:type="dxa"/>
        <w:tblInd w:w="93" w:type="dxa"/>
        <w:tblLook w:val="04A0" w:firstRow="1" w:lastRow="0" w:firstColumn="1" w:lastColumn="0" w:noHBand="0" w:noVBand="1"/>
      </w:tblPr>
      <w:tblGrid>
        <w:gridCol w:w="1251"/>
        <w:gridCol w:w="2860"/>
        <w:gridCol w:w="1051"/>
        <w:gridCol w:w="1150"/>
        <w:gridCol w:w="1500"/>
        <w:gridCol w:w="1360"/>
      </w:tblGrid>
      <w:tr w:rsidR="00A021CC" w:rsidRPr="00A021CC" w14:paraId="62483108" w14:textId="77777777" w:rsidTr="00971D7D">
        <w:trPr>
          <w:trHeight w:val="315"/>
          <w:tblHeader/>
        </w:trPr>
        <w:tc>
          <w:tcPr>
            <w:tcW w:w="1251" w:type="dxa"/>
            <w:tcBorders>
              <w:top w:val="single" w:sz="8" w:space="0" w:color="auto"/>
              <w:left w:val="single" w:sz="8" w:space="0" w:color="auto"/>
              <w:bottom w:val="single" w:sz="12" w:space="0" w:color="FFFFFF"/>
              <w:right w:val="single" w:sz="8" w:space="0" w:color="FFFFFF"/>
            </w:tcBorders>
            <w:shd w:val="clear" w:color="000000" w:fill="4BACC6"/>
            <w:noWrap/>
            <w:vAlign w:val="center"/>
            <w:hideMark/>
          </w:tcPr>
          <w:p w14:paraId="7A042827" w14:textId="77777777" w:rsidR="00A021CC" w:rsidRPr="00A021CC" w:rsidRDefault="00A021CC" w:rsidP="00A021CC">
            <w:pPr>
              <w:spacing w:after="0" w:line="240" w:lineRule="auto"/>
              <w:jc w:val="left"/>
              <w:rPr>
                <w:rFonts w:cs="Arial"/>
                <w:b/>
                <w:bCs/>
                <w:i/>
                <w:iCs/>
                <w:color w:val="FFFFFF"/>
                <w:sz w:val="20"/>
                <w:lang w:eastAsia="en-AU"/>
              </w:rPr>
            </w:pPr>
            <w:r w:rsidRPr="00A021CC">
              <w:rPr>
                <w:rFonts w:cs="Arial"/>
                <w:b/>
                <w:bCs/>
                <w:i/>
                <w:iCs/>
                <w:color w:val="FFFFFF"/>
                <w:sz w:val="20"/>
                <w:lang w:eastAsia="en-AU"/>
              </w:rPr>
              <w:t>ASSET_ID</w:t>
            </w:r>
          </w:p>
        </w:tc>
        <w:tc>
          <w:tcPr>
            <w:tcW w:w="2860" w:type="dxa"/>
            <w:tcBorders>
              <w:top w:val="single" w:sz="8" w:space="0" w:color="auto"/>
              <w:left w:val="nil"/>
              <w:bottom w:val="single" w:sz="12" w:space="0" w:color="FFFFFF"/>
              <w:right w:val="single" w:sz="8" w:space="0" w:color="FFFFFF"/>
            </w:tcBorders>
            <w:shd w:val="clear" w:color="000000" w:fill="4BACC6"/>
            <w:noWrap/>
            <w:vAlign w:val="center"/>
            <w:hideMark/>
          </w:tcPr>
          <w:p w14:paraId="0C85531D" w14:textId="77777777" w:rsidR="00A021CC" w:rsidRPr="00A021CC" w:rsidRDefault="00A021CC" w:rsidP="00A021CC">
            <w:pPr>
              <w:spacing w:after="0" w:line="240" w:lineRule="auto"/>
              <w:jc w:val="left"/>
              <w:rPr>
                <w:rFonts w:cs="Arial"/>
                <w:b/>
                <w:bCs/>
                <w:i/>
                <w:iCs/>
                <w:color w:val="FFFFFF"/>
                <w:sz w:val="20"/>
                <w:lang w:eastAsia="en-AU"/>
              </w:rPr>
            </w:pPr>
            <w:r w:rsidRPr="00A021CC">
              <w:rPr>
                <w:rFonts w:cs="Arial"/>
                <w:b/>
                <w:bCs/>
                <w:i/>
                <w:iCs/>
                <w:color w:val="FFFFFF"/>
                <w:sz w:val="20"/>
                <w:lang w:eastAsia="en-AU"/>
              </w:rPr>
              <w:t>Road Name</w:t>
            </w:r>
          </w:p>
        </w:tc>
        <w:tc>
          <w:tcPr>
            <w:tcW w:w="1051" w:type="dxa"/>
            <w:tcBorders>
              <w:top w:val="single" w:sz="8" w:space="0" w:color="auto"/>
              <w:left w:val="nil"/>
              <w:bottom w:val="single" w:sz="12" w:space="0" w:color="FFFFFF"/>
              <w:right w:val="single" w:sz="8" w:space="0" w:color="FFFFFF"/>
            </w:tcBorders>
            <w:shd w:val="clear" w:color="000000" w:fill="4BACC6"/>
            <w:noWrap/>
            <w:vAlign w:val="center"/>
            <w:hideMark/>
          </w:tcPr>
          <w:p w14:paraId="71D22539" w14:textId="77777777" w:rsidR="00A021CC" w:rsidRPr="00A021CC" w:rsidRDefault="00A021CC" w:rsidP="00A021CC">
            <w:pPr>
              <w:spacing w:after="0" w:line="240" w:lineRule="auto"/>
              <w:jc w:val="center"/>
              <w:rPr>
                <w:rFonts w:cs="Arial"/>
                <w:b/>
                <w:bCs/>
                <w:i/>
                <w:iCs/>
                <w:color w:val="FFFFFF"/>
                <w:sz w:val="20"/>
                <w:lang w:eastAsia="en-AU"/>
              </w:rPr>
            </w:pPr>
            <w:r w:rsidRPr="00A021CC">
              <w:rPr>
                <w:rFonts w:cs="Arial"/>
                <w:b/>
                <w:bCs/>
                <w:i/>
                <w:iCs/>
                <w:color w:val="FFFFFF"/>
                <w:sz w:val="20"/>
                <w:lang w:eastAsia="en-AU"/>
              </w:rPr>
              <w:t>Area m2</w:t>
            </w:r>
          </w:p>
        </w:tc>
        <w:tc>
          <w:tcPr>
            <w:tcW w:w="1150" w:type="dxa"/>
            <w:tcBorders>
              <w:top w:val="single" w:sz="8" w:space="0" w:color="auto"/>
              <w:left w:val="nil"/>
              <w:bottom w:val="single" w:sz="12" w:space="0" w:color="FFFFFF"/>
              <w:right w:val="single" w:sz="8" w:space="0" w:color="FFFFFF"/>
            </w:tcBorders>
            <w:shd w:val="clear" w:color="000000" w:fill="4BACC6"/>
            <w:noWrap/>
            <w:vAlign w:val="center"/>
            <w:hideMark/>
          </w:tcPr>
          <w:p w14:paraId="25EAE38F" w14:textId="77777777" w:rsidR="00A021CC" w:rsidRPr="00A021CC" w:rsidRDefault="00A021CC" w:rsidP="00A021CC">
            <w:pPr>
              <w:spacing w:after="0" w:line="240" w:lineRule="auto"/>
              <w:jc w:val="center"/>
              <w:rPr>
                <w:rFonts w:cs="Arial"/>
                <w:b/>
                <w:bCs/>
                <w:i/>
                <w:iCs/>
                <w:color w:val="FFFFFF"/>
                <w:sz w:val="20"/>
                <w:lang w:eastAsia="en-AU"/>
              </w:rPr>
            </w:pPr>
            <w:r w:rsidRPr="00A021CC">
              <w:rPr>
                <w:rFonts w:cs="Arial"/>
                <w:b/>
                <w:bCs/>
                <w:i/>
                <w:iCs/>
                <w:color w:val="FFFFFF"/>
                <w:sz w:val="20"/>
                <w:lang w:eastAsia="en-AU"/>
              </w:rPr>
              <w:t>Condition</w:t>
            </w:r>
          </w:p>
        </w:tc>
        <w:tc>
          <w:tcPr>
            <w:tcW w:w="1500" w:type="dxa"/>
            <w:tcBorders>
              <w:top w:val="single" w:sz="8" w:space="0" w:color="auto"/>
              <w:left w:val="nil"/>
              <w:bottom w:val="single" w:sz="12" w:space="0" w:color="FFFFFF"/>
              <w:right w:val="single" w:sz="8" w:space="0" w:color="FFFFFF"/>
            </w:tcBorders>
            <w:shd w:val="clear" w:color="000000" w:fill="4BACC6"/>
            <w:noWrap/>
            <w:vAlign w:val="center"/>
            <w:hideMark/>
          </w:tcPr>
          <w:p w14:paraId="3F28B57F" w14:textId="77777777" w:rsidR="00A021CC" w:rsidRPr="00A021CC" w:rsidRDefault="00A021CC" w:rsidP="00A021CC">
            <w:pPr>
              <w:spacing w:after="0" w:line="240" w:lineRule="auto"/>
              <w:jc w:val="center"/>
              <w:rPr>
                <w:rFonts w:cs="Arial"/>
                <w:b/>
                <w:bCs/>
                <w:i/>
                <w:iCs/>
                <w:color w:val="FFFFFF"/>
                <w:sz w:val="20"/>
                <w:lang w:eastAsia="en-AU"/>
              </w:rPr>
            </w:pPr>
            <w:r w:rsidRPr="00A021CC">
              <w:rPr>
                <w:rFonts w:cs="Arial"/>
                <w:b/>
                <w:bCs/>
                <w:i/>
                <w:iCs/>
                <w:color w:val="FFFFFF"/>
                <w:sz w:val="20"/>
                <w:lang w:eastAsia="en-AU"/>
              </w:rPr>
              <w:t xml:space="preserve"> </w:t>
            </w:r>
            <w:proofErr w:type="gramStart"/>
            <w:r w:rsidRPr="00A021CC">
              <w:rPr>
                <w:rFonts w:cs="Arial"/>
                <w:b/>
                <w:bCs/>
                <w:i/>
                <w:iCs/>
                <w:color w:val="FFFFFF"/>
                <w:sz w:val="20"/>
                <w:lang w:eastAsia="en-AU"/>
              </w:rPr>
              <w:t>CRC(</w:t>
            </w:r>
            <w:proofErr w:type="gramEnd"/>
            <w:r w:rsidRPr="00A021CC">
              <w:rPr>
                <w:rFonts w:cs="Arial"/>
                <w:b/>
                <w:bCs/>
                <w:i/>
                <w:iCs/>
                <w:color w:val="FFFFFF"/>
                <w:sz w:val="20"/>
                <w:lang w:eastAsia="en-AU"/>
              </w:rPr>
              <w:t xml:space="preserve">$) </w:t>
            </w:r>
          </w:p>
        </w:tc>
        <w:tc>
          <w:tcPr>
            <w:tcW w:w="1360" w:type="dxa"/>
            <w:tcBorders>
              <w:top w:val="single" w:sz="8" w:space="0" w:color="auto"/>
              <w:left w:val="nil"/>
              <w:bottom w:val="single" w:sz="12" w:space="0" w:color="FFFFFF"/>
              <w:right w:val="single" w:sz="8" w:space="0" w:color="auto"/>
            </w:tcBorders>
            <w:shd w:val="clear" w:color="000000" w:fill="4BACC6"/>
            <w:noWrap/>
            <w:vAlign w:val="center"/>
            <w:hideMark/>
          </w:tcPr>
          <w:p w14:paraId="17C7AD18" w14:textId="77777777" w:rsidR="00A021CC" w:rsidRPr="00A021CC" w:rsidRDefault="00A021CC" w:rsidP="00A021CC">
            <w:pPr>
              <w:spacing w:after="0" w:line="240" w:lineRule="auto"/>
              <w:jc w:val="center"/>
              <w:rPr>
                <w:rFonts w:cs="Arial"/>
                <w:b/>
                <w:bCs/>
                <w:i/>
                <w:iCs/>
                <w:color w:val="FFFFFF"/>
                <w:sz w:val="20"/>
                <w:lang w:eastAsia="en-AU"/>
              </w:rPr>
            </w:pPr>
            <w:r w:rsidRPr="00A021CC">
              <w:rPr>
                <w:rFonts w:cs="Arial"/>
                <w:b/>
                <w:bCs/>
                <w:i/>
                <w:iCs/>
                <w:color w:val="FFFFFF"/>
                <w:sz w:val="20"/>
                <w:lang w:eastAsia="en-AU"/>
              </w:rPr>
              <w:t xml:space="preserve"> Renewal Year </w:t>
            </w:r>
          </w:p>
        </w:tc>
      </w:tr>
      <w:tr w:rsidR="00A021CC" w:rsidRPr="00A021CC" w14:paraId="1C02626F" w14:textId="77777777" w:rsidTr="00C25FBD">
        <w:trPr>
          <w:trHeight w:val="330"/>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068DEC68"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FP_002617</w:t>
            </w:r>
          </w:p>
        </w:tc>
        <w:tc>
          <w:tcPr>
            <w:tcW w:w="2860" w:type="dxa"/>
            <w:tcBorders>
              <w:top w:val="nil"/>
              <w:left w:val="nil"/>
              <w:bottom w:val="single" w:sz="8" w:space="0" w:color="FFFFFF"/>
              <w:right w:val="single" w:sz="8" w:space="0" w:color="FFFFFF"/>
            </w:tcBorders>
            <w:shd w:val="clear" w:color="000000" w:fill="B7DEE8"/>
            <w:noWrap/>
            <w:vAlign w:val="center"/>
            <w:hideMark/>
          </w:tcPr>
          <w:p w14:paraId="0DB305DC"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B7DEE8"/>
            <w:noWrap/>
            <w:vAlign w:val="center"/>
            <w:hideMark/>
          </w:tcPr>
          <w:p w14:paraId="27F4859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203.87</w:t>
            </w:r>
          </w:p>
        </w:tc>
        <w:tc>
          <w:tcPr>
            <w:tcW w:w="1150" w:type="dxa"/>
            <w:tcBorders>
              <w:top w:val="nil"/>
              <w:left w:val="nil"/>
              <w:bottom w:val="single" w:sz="8" w:space="0" w:color="FFFFFF"/>
              <w:right w:val="single" w:sz="8" w:space="0" w:color="FFFFFF"/>
            </w:tcBorders>
            <w:shd w:val="clear" w:color="000000" w:fill="B7DEE8"/>
            <w:noWrap/>
            <w:vAlign w:val="center"/>
            <w:hideMark/>
          </w:tcPr>
          <w:p w14:paraId="6AB6B6D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7E90678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4,077</w:t>
            </w:r>
          </w:p>
        </w:tc>
        <w:tc>
          <w:tcPr>
            <w:tcW w:w="1360" w:type="dxa"/>
            <w:tcBorders>
              <w:top w:val="nil"/>
              <w:left w:val="nil"/>
              <w:bottom w:val="single" w:sz="8" w:space="0" w:color="FFFFFF"/>
              <w:right w:val="single" w:sz="8" w:space="0" w:color="auto"/>
            </w:tcBorders>
            <w:shd w:val="clear" w:color="000000" w:fill="B7DEE8"/>
            <w:noWrap/>
            <w:vAlign w:val="center"/>
            <w:hideMark/>
          </w:tcPr>
          <w:p w14:paraId="04DFE289"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FB67F0B"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22870CC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FP_000897</w:t>
            </w:r>
          </w:p>
        </w:tc>
        <w:tc>
          <w:tcPr>
            <w:tcW w:w="2860" w:type="dxa"/>
            <w:tcBorders>
              <w:top w:val="nil"/>
              <w:left w:val="nil"/>
              <w:bottom w:val="single" w:sz="8" w:space="0" w:color="FFFFFF"/>
              <w:right w:val="single" w:sz="8" w:space="0" w:color="FFFFFF"/>
            </w:tcBorders>
            <w:shd w:val="clear" w:color="000000" w:fill="DAEEF3"/>
            <w:noWrap/>
            <w:vAlign w:val="center"/>
            <w:hideMark/>
          </w:tcPr>
          <w:p w14:paraId="3202CB19"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TOMISLAV PLACE</w:t>
            </w:r>
          </w:p>
        </w:tc>
        <w:tc>
          <w:tcPr>
            <w:tcW w:w="1051" w:type="dxa"/>
            <w:tcBorders>
              <w:top w:val="nil"/>
              <w:left w:val="nil"/>
              <w:bottom w:val="single" w:sz="8" w:space="0" w:color="FFFFFF"/>
              <w:right w:val="single" w:sz="8" w:space="0" w:color="FFFFFF"/>
            </w:tcBorders>
            <w:shd w:val="clear" w:color="000000" w:fill="DAEEF3"/>
            <w:noWrap/>
            <w:vAlign w:val="center"/>
            <w:hideMark/>
          </w:tcPr>
          <w:p w14:paraId="3036418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26.68</w:t>
            </w:r>
          </w:p>
        </w:tc>
        <w:tc>
          <w:tcPr>
            <w:tcW w:w="1150" w:type="dxa"/>
            <w:tcBorders>
              <w:top w:val="nil"/>
              <w:left w:val="nil"/>
              <w:bottom w:val="single" w:sz="8" w:space="0" w:color="FFFFFF"/>
              <w:right w:val="single" w:sz="8" w:space="0" w:color="FFFFFF"/>
            </w:tcBorders>
            <w:shd w:val="clear" w:color="000000" w:fill="DAEEF3"/>
            <w:noWrap/>
            <w:vAlign w:val="center"/>
            <w:hideMark/>
          </w:tcPr>
          <w:p w14:paraId="2C7C511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383F23D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1,734</w:t>
            </w:r>
          </w:p>
        </w:tc>
        <w:tc>
          <w:tcPr>
            <w:tcW w:w="1360" w:type="dxa"/>
            <w:tcBorders>
              <w:top w:val="nil"/>
              <w:left w:val="nil"/>
              <w:bottom w:val="single" w:sz="8" w:space="0" w:color="FFFFFF"/>
              <w:right w:val="single" w:sz="8" w:space="0" w:color="auto"/>
            </w:tcBorders>
            <w:shd w:val="clear" w:color="000000" w:fill="DAEEF3"/>
            <w:noWrap/>
            <w:vAlign w:val="center"/>
            <w:hideMark/>
          </w:tcPr>
          <w:p w14:paraId="694FA695"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DAC9299"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07348578"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FP_001028</w:t>
            </w:r>
          </w:p>
        </w:tc>
        <w:tc>
          <w:tcPr>
            <w:tcW w:w="2860" w:type="dxa"/>
            <w:tcBorders>
              <w:top w:val="nil"/>
              <w:left w:val="nil"/>
              <w:bottom w:val="single" w:sz="8" w:space="0" w:color="FFFFFF"/>
              <w:right w:val="single" w:sz="8" w:space="0" w:color="FFFFFF"/>
            </w:tcBorders>
            <w:shd w:val="clear" w:color="000000" w:fill="B7DEE8"/>
            <w:noWrap/>
            <w:vAlign w:val="center"/>
            <w:hideMark/>
          </w:tcPr>
          <w:p w14:paraId="04F0F01D"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ROCKINGHAM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2A383FC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556</w:t>
            </w:r>
          </w:p>
        </w:tc>
        <w:tc>
          <w:tcPr>
            <w:tcW w:w="1150" w:type="dxa"/>
            <w:tcBorders>
              <w:top w:val="nil"/>
              <w:left w:val="nil"/>
              <w:bottom w:val="single" w:sz="8" w:space="0" w:color="FFFFFF"/>
              <w:right w:val="single" w:sz="8" w:space="0" w:color="FFFFFF"/>
            </w:tcBorders>
            <w:shd w:val="clear" w:color="000000" w:fill="B7DEE8"/>
            <w:noWrap/>
            <w:vAlign w:val="center"/>
            <w:hideMark/>
          </w:tcPr>
          <w:p w14:paraId="4AF2CA4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5F4790C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36,171</w:t>
            </w:r>
          </w:p>
        </w:tc>
        <w:tc>
          <w:tcPr>
            <w:tcW w:w="1360" w:type="dxa"/>
            <w:tcBorders>
              <w:top w:val="nil"/>
              <w:left w:val="nil"/>
              <w:bottom w:val="single" w:sz="8" w:space="0" w:color="FFFFFF"/>
              <w:right w:val="single" w:sz="8" w:space="0" w:color="auto"/>
            </w:tcBorders>
            <w:shd w:val="clear" w:color="000000" w:fill="B7DEE8"/>
            <w:noWrap/>
            <w:vAlign w:val="center"/>
            <w:hideMark/>
          </w:tcPr>
          <w:p w14:paraId="578969CC"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584CC204"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7080C91A"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FP_000721</w:t>
            </w:r>
          </w:p>
        </w:tc>
        <w:tc>
          <w:tcPr>
            <w:tcW w:w="2860" w:type="dxa"/>
            <w:tcBorders>
              <w:top w:val="nil"/>
              <w:left w:val="nil"/>
              <w:bottom w:val="single" w:sz="8" w:space="0" w:color="FFFFFF"/>
              <w:right w:val="single" w:sz="8" w:space="0" w:color="FFFFFF"/>
            </w:tcBorders>
            <w:shd w:val="clear" w:color="000000" w:fill="DAEEF3"/>
            <w:noWrap/>
            <w:vAlign w:val="center"/>
            <w:hideMark/>
          </w:tcPr>
          <w:p w14:paraId="17AFDC44" w14:textId="77777777" w:rsidR="00A021CC" w:rsidRPr="00A021CC" w:rsidRDefault="00A021CC" w:rsidP="00A021CC">
            <w:pPr>
              <w:spacing w:after="0" w:line="240" w:lineRule="auto"/>
              <w:ind w:firstLineChars="100" w:firstLine="200"/>
              <w:jc w:val="left"/>
              <w:rPr>
                <w:rFonts w:cs="Arial"/>
                <w:color w:val="000000"/>
                <w:sz w:val="20"/>
                <w:lang w:eastAsia="en-AU"/>
              </w:rPr>
            </w:pPr>
            <w:r w:rsidRPr="00A021CC">
              <w:rPr>
                <w:rFonts w:cs="Arial"/>
                <w:color w:val="000000"/>
                <w:sz w:val="20"/>
                <w:lang w:eastAsia="en-AU"/>
              </w:rPr>
              <w:t>ROCKINGHAM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50A1CCE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88</w:t>
            </w:r>
          </w:p>
        </w:tc>
        <w:tc>
          <w:tcPr>
            <w:tcW w:w="1150" w:type="dxa"/>
            <w:tcBorders>
              <w:top w:val="nil"/>
              <w:left w:val="nil"/>
              <w:bottom w:val="single" w:sz="8" w:space="0" w:color="FFFFFF"/>
              <w:right w:val="single" w:sz="8" w:space="0" w:color="FFFFFF"/>
            </w:tcBorders>
            <w:shd w:val="clear" w:color="000000" w:fill="DAEEF3"/>
            <w:noWrap/>
            <w:vAlign w:val="center"/>
            <w:hideMark/>
          </w:tcPr>
          <w:p w14:paraId="6A3DCC1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5FCAC3C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5,751</w:t>
            </w:r>
          </w:p>
        </w:tc>
        <w:tc>
          <w:tcPr>
            <w:tcW w:w="1360" w:type="dxa"/>
            <w:tcBorders>
              <w:top w:val="nil"/>
              <w:left w:val="nil"/>
              <w:bottom w:val="single" w:sz="8" w:space="0" w:color="FFFFFF"/>
              <w:right w:val="single" w:sz="8" w:space="0" w:color="auto"/>
            </w:tcBorders>
            <w:shd w:val="clear" w:color="000000" w:fill="DAEEF3"/>
            <w:noWrap/>
            <w:vAlign w:val="center"/>
            <w:hideMark/>
          </w:tcPr>
          <w:p w14:paraId="00C67395"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6F5376B9"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13BBF7B6"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FP_000722</w:t>
            </w:r>
          </w:p>
        </w:tc>
        <w:tc>
          <w:tcPr>
            <w:tcW w:w="2860" w:type="dxa"/>
            <w:tcBorders>
              <w:top w:val="nil"/>
              <w:left w:val="nil"/>
              <w:bottom w:val="single" w:sz="8" w:space="0" w:color="FFFFFF"/>
              <w:right w:val="single" w:sz="8" w:space="0" w:color="FFFFFF"/>
            </w:tcBorders>
            <w:shd w:val="clear" w:color="000000" w:fill="B7DEE8"/>
            <w:noWrap/>
            <w:vAlign w:val="center"/>
            <w:hideMark/>
          </w:tcPr>
          <w:p w14:paraId="2D1AC168"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B7DEE8"/>
            <w:noWrap/>
            <w:vAlign w:val="center"/>
            <w:hideMark/>
          </w:tcPr>
          <w:p w14:paraId="767A86C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58</w:t>
            </w:r>
          </w:p>
        </w:tc>
        <w:tc>
          <w:tcPr>
            <w:tcW w:w="1150" w:type="dxa"/>
            <w:tcBorders>
              <w:top w:val="nil"/>
              <w:left w:val="nil"/>
              <w:bottom w:val="single" w:sz="8" w:space="0" w:color="FFFFFF"/>
              <w:right w:val="single" w:sz="8" w:space="0" w:color="FFFFFF"/>
            </w:tcBorders>
            <w:shd w:val="clear" w:color="000000" w:fill="B7DEE8"/>
            <w:noWrap/>
            <w:vAlign w:val="center"/>
            <w:hideMark/>
          </w:tcPr>
          <w:p w14:paraId="55914B8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420B153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3,770</w:t>
            </w:r>
          </w:p>
        </w:tc>
        <w:tc>
          <w:tcPr>
            <w:tcW w:w="1360" w:type="dxa"/>
            <w:tcBorders>
              <w:top w:val="nil"/>
              <w:left w:val="nil"/>
              <w:bottom w:val="single" w:sz="8" w:space="0" w:color="FFFFFF"/>
              <w:right w:val="single" w:sz="8" w:space="0" w:color="auto"/>
            </w:tcBorders>
            <w:shd w:val="clear" w:color="000000" w:fill="B7DEE8"/>
            <w:noWrap/>
            <w:vAlign w:val="center"/>
            <w:hideMark/>
          </w:tcPr>
          <w:p w14:paraId="3E3AC2E4"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6A8393F3"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6FFE8580"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FP_000724</w:t>
            </w:r>
          </w:p>
        </w:tc>
        <w:tc>
          <w:tcPr>
            <w:tcW w:w="2860" w:type="dxa"/>
            <w:tcBorders>
              <w:top w:val="nil"/>
              <w:left w:val="nil"/>
              <w:bottom w:val="single" w:sz="8" w:space="0" w:color="FFFFFF"/>
              <w:right w:val="single" w:sz="8" w:space="0" w:color="FFFFFF"/>
            </w:tcBorders>
            <w:shd w:val="clear" w:color="000000" w:fill="DAEEF3"/>
            <w:noWrap/>
            <w:vAlign w:val="center"/>
            <w:hideMark/>
          </w:tcPr>
          <w:p w14:paraId="125467BA"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ROCKINGHAM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4B1C178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271.5</w:t>
            </w:r>
          </w:p>
        </w:tc>
        <w:tc>
          <w:tcPr>
            <w:tcW w:w="1150" w:type="dxa"/>
            <w:tcBorders>
              <w:top w:val="nil"/>
              <w:left w:val="nil"/>
              <w:bottom w:val="single" w:sz="8" w:space="0" w:color="FFFFFF"/>
              <w:right w:val="single" w:sz="8" w:space="0" w:color="FFFFFF"/>
            </w:tcBorders>
            <w:shd w:val="clear" w:color="000000" w:fill="DAEEF3"/>
            <w:noWrap/>
            <w:vAlign w:val="center"/>
            <w:hideMark/>
          </w:tcPr>
          <w:p w14:paraId="0FBF381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35D6831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17,648</w:t>
            </w:r>
          </w:p>
        </w:tc>
        <w:tc>
          <w:tcPr>
            <w:tcW w:w="1360" w:type="dxa"/>
            <w:tcBorders>
              <w:top w:val="nil"/>
              <w:left w:val="nil"/>
              <w:bottom w:val="single" w:sz="8" w:space="0" w:color="FFFFFF"/>
              <w:right w:val="single" w:sz="8" w:space="0" w:color="auto"/>
            </w:tcBorders>
            <w:shd w:val="clear" w:color="000000" w:fill="DAEEF3"/>
            <w:noWrap/>
            <w:vAlign w:val="center"/>
            <w:hideMark/>
          </w:tcPr>
          <w:p w14:paraId="017116C7"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63BABA5"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54CFD24E"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FP_003347</w:t>
            </w:r>
          </w:p>
        </w:tc>
        <w:tc>
          <w:tcPr>
            <w:tcW w:w="2860" w:type="dxa"/>
            <w:tcBorders>
              <w:top w:val="nil"/>
              <w:left w:val="nil"/>
              <w:bottom w:val="single" w:sz="8" w:space="0" w:color="FFFFFF"/>
              <w:right w:val="single" w:sz="8" w:space="0" w:color="FFFFFF"/>
            </w:tcBorders>
            <w:shd w:val="clear" w:color="000000" w:fill="B7DEE8"/>
            <w:noWrap/>
            <w:vAlign w:val="center"/>
            <w:hideMark/>
          </w:tcPr>
          <w:p w14:paraId="43C3D766"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HAMILTON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4B2B2E7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102.97</w:t>
            </w:r>
          </w:p>
        </w:tc>
        <w:tc>
          <w:tcPr>
            <w:tcW w:w="1150" w:type="dxa"/>
            <w:tcBorders>
              <w:top w:val="nil"/>
              <w:left w:val="nil"/>
              <w:bottom w:val="single" w:sz="8" w:space="0" w:color="FFFFFF"/>
              <w:right w:val="single" w:sz="8" w:space="0" w:color="FFFFFF"/>
            </w:tcBorders>
            <w:shd w:val="clear" w:color="000000" w:fill="B7DEE8"/>
            <w:noWrap/>
            <w:vAlign w:val="center"/>
            <w:hideMark/>
          </w:tcPr>
          <w:p w14:paraId="52A2268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31AC013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6,693</w:t>
            </w:r>
          </w:p>
        </w:tc>
        <w:tc>
          <w:tcPr>
            <w:tcW w:w="1360" w:type="dxa"/>
            <w:tcBorders>
              <w:top w:val="nil"/>
              <w:left w:val="nil"/>
              <w:bottom w:val="single" w:sz="8" w:space="0" w:color="FFFFFF"/>
              <w:right w:val="single" w:sz="8" w:space="0" w:color="auto"/>
            </w:tcBorders>
            <w:shd w:val="clear" w:color="000000" w:fill="B7DEE8"/>
            <w:noWrap/>
            <w:vAlign w:val="center"/>
            <w:hideMark/>
          </w:tcPr>
          <w:p w14:paraId="2EB6CF4E"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6B638517"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2A349749"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FP_002758</w:t>
            </w:r>
          </w:p>
        </w:tc>
        <w:tc>
          <w:tcPr>
            <w:tcW w:w="2860" w:type="dxa"/>
            <w:tcBorders>
              <w:top w:val="nil"/>
              <w:left w:val="nil"/>
              <w:bottom w:val="single" w:sz="8" w:space="0" w:color="FFFFFF"/>
              <w:right w:val="single" w:sz="8" w:space="0" w:color="FFFFFF"/>
            </w:tcBorders>
            <w:shd w:val="clear" w:color="000000" w:fill="DAEEF3"/>
            <w:noWrap/>
            <w:vAlign w:val="center"/>
            <w:hideMark/>
          </w:tcPr>
          <w:p w14:paraId="3E9C83C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PEREGRINE CIRCLE</w:t>
            </w:r>
          </w:p>
        </w:tc>
        <w:tc>
          <w:tcPr>
            <w:tcW w:w="1051" w:type="dxa"/>
            <w:tcBorders>
              <w:top w:val="nil"/>
              <w:left w:val="nil"/>
              <w:bottom w:val="single" w:sz="8" w:space="0" w:color="FFFFFF"/>
              <w:right w:val="single" w:sz="8" w:space="0" w:color="FFFFFF"/>
            </w:tcBorders>
            <w:shd w:val="clear" w:color="000000" w:fill="DAEEF3"/>
            <w:noWrap/>
            <w:vAlign w:val="center"/>
            <w:hideMark/>
          </w:tcPr>
          <w:p w14:paraId="1578C60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63.86</w:t>
            </w:r>
          </w:p>
        </w:tc>
        <w:tc>
          <w:tcPr>
            <w:tcW w:w="1150" w:type="dxa"/>
            <w:tcBorders>
              <w:top w:val="nil"/>
              <w:left w:val="nil"/>
              <w:bottom w:val="single" w:sz="8" w:space="0" w:color="FFFFFF"/>
              <w:right w:val="single" w:sz="8" w:space="0" w:color="FFFFFF"/>
            </w:tcBorders>
            <w:shd w:val="clear" w:color="000000" w:fill="DAEEF3"/>
            <w:noWrap/>
            <w:vAlign w:val="center"/>
            <w:hideMark/>
          </w:tcPr>
          <w:p w14:paraId="5551FF1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45B3FB8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4,151</w:t>
            </w:r>
          </w:p>
        </w:tc>
        <w:tc>
          <w:tcPr>
            <w:tcW w:w="1360" w:type="dxa"/>
            <w:tcBorders>
              <w:top w:val="nil"/>
              <w:left w:val="nil"/>
              <w:bottom w:val="single" w:sz="8" w:space="0" w:color="FFFFFF"/>
              <w:right w:val="single" w:sz="8" w:space="0" w:color="auto"/>
            </w:tcBorders>
            <w:shd w:val="clear" w:color="000000" w:fill="DAEEF3"/>
            <w:noWrap/>
            <w:vAlign w:val="center"/>
            <w:hideMark/>
          </w:tcPr>
          <w:p w14:paraId="24C66D80"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EFD4755"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63F5A908"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FP_004997</w:t>
            </w:r>
          </w:p>
        </w:tc>
        <w:tc>
          <w:tcPr>
            <w:tcW w:w="2860" w:type="dxa"/>
            <w:tcBorders>
              <w:top w:val="nil"/>
              <w:left w:val="nil"/>
              <w:bottom w:val="single" w:sz="8" w:space="0" w:color="FFFFFF"/>
              <w:right w:val="single" w:sz="8" w:space="0" w:color="FFFFFF"/>
            </w:tcBorders>
            <w:shd w:val="clear" w:color="000000" w:fill="B7DEE8"/>
            <w:noWrap/>
            <w:vAlign w:val="center"/>
            <w:hideMark/>
          </w:tcPr>
          <w:p w14:paraId="6262847A"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MARBAN WAY</w:t>
            </w:r>
          </w:p>
        </w:tc>
        <w:tc>
          <w:tcPr>
            <w:tcW w:w="1051" w:type="dxa"/>
            <w:tcBorders>
              <w:top w:val="nil"/>
              <w:left w:val="nil"/>
              <w:bottom w:val="single" w:sz="8" w:space="0" w:color="FFFFFF"/>
              <w:right w:val="single" w:sz="8" w:space="0" w:color="FFFFFF"/>
            </w:tcBorders>
            <w:shd w:val="clear" w:color="000000" w:fill="B7DEE8"/>
            <w:noWrap/>
            <w:vAlign w:val="center"/>
            <w:hideMark/>
          </w:tcPr>
          <w:p w14:paraId="78811DB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41.03</w:t>
            </w:r>
          </w:p>
        </w:tc>
        <w:tc>
          <w:tcPr>
            <w:tcW w:w="1150" w:type="dxa"/>
            <w:tcBorders>
              <w:top w:val="nil"/>
              <w:left w:val="nil"/>
              <w:bottom w:val="single" w:sz="8" w:space="0" w:color="FFFFFF"/>
              <w:right w:val="single" w:sz="8" w:space="0" w:color="FFFFFF"/>
            </w:tcBorders>
            <w:shd w:val="clear" w:color="000000" w:fill="B7DEE8"/>
            <w:noWrap/>
            <w:vAlign w:val="center"/>
            <w:hideMark/>
          </w:tcPr>
          <w:p w14:paraId="0C5E478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17E9FF1A"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2,667</w:t>
            </w:r>
          </w:p>
        </w:tc>
        <w:tc>
          <w:tcPr>
            <w:tcW w:w="1360" w:type="dxa"/>
            <w:tcBorders>
              <w:top w:val="nil"/>
              <w:left w:val="nil"/>
              <w:bottom w:val="single" w:sz="8" w:space="0" w:color="FFFFFF"/>
              <w:right w:val="single" w:sz="8" w:space="0" w:color="auto"/>
            </w:tcBorders>
            <w:shd w:val="clear" w:color="000000" w:fill="B7DEE8"/>
            <w:noWrap/>
            <w:vAlign w:val="center"/>
            <w:hideMark/>
          </w:tcPr>
          <w:p w14:paraId="06EC36C1"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732DA3CB"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45A64AB7"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FP_000839</w:t>
            </w:r>
          </w:p>
        </w:tc>
        <w:tc>
          <w:tcPr>
            <w:tcW w:w="2860" w:type="dxa"/>
            <w:tcBorders>
              <w:top w:val="nil"/>
              <w:left w:val="nil"/>
              <w:bottom w:val="single" w:sz="8" w:space="0" w:color="FFFFFF"/>
              <w:right w:val="single" w:sz="8" w:space="0" w:color="FFFFFF"/>
            </w:tcBorders>
            <w:shd w:val="clear" w:color="000000" w:fill="DAEEF3"/>
            <w:noWrap/>
            <w:vAlign w:val="center"/>
            <w:hideMark/>
          </w:tcPr>
          <w:p w14:paraId="178D2939"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ANNOIS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1D7321E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170.05</w:t>
            </w:r>
          </w:p>
        </w:tc>
        <w:tc>
          <w:tcPr>
            <w:tcW w:w="1150" w:type="dxa"/>
            <w:tcBorders>
              <w:top w:val="nil"/>
              <w:left w:val="nil"/>
              <w:bottom w:val="single" w:sz="8" w:space="0" w:color="FFFFFF"/>
              <w:right w:val="single" w:sz="8" w:space="0" w:color="FFFFFF"/>
            </w:tcBorders>
            <w:shd w:val="clear" w:color="000000" w:fill="DAEEF3"/>
            <w:noWrap/>
            <w:vAlign w:val="center"/>
            <w:hideMark/>
          </w:tcPr>
          <w:p w14:paraId="64E8B5F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4E98D7A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11,053</w:t>
            </w:r>
          </w:p>
        </w:tc>
        <w:tc>
          <w:tcPr>
            <w:tcW w:w="1360" w:type="dxa"/>
            <w:tcBorders>
              <w:top w:val="nil"/>
              <w:left w:val="nil"/>
              <w:bottom w:val="single" w:sz="8" w:space="0" w:color="FFFFFF"/>
              <w:right w:val="single" w:sz="8" w:space="0" w:color="auto"/>
            </w:tcBorders>
            <w:shd w:val="clear" w:color="000000" w:fill="DAEEF3"/>
            <w:noWrap/>
            <w:vAlign w:val="center"/>
            <w:hideMark/>
          </w:tcPr>
          <w:p w14:paraId="5895501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572C7CB2"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38F19A1C"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FP_003410</w:t>
            </w:r>
          </w:p>
        </w:tc>
        <w:tc>
          <w:tcPr>
            <w:tcW w:w="2860" w:type="dxa"/>
            <w:tcBorders>
              <w:top w:val="nil"/>
              <w:left w:val="nil"/>
              <w:bottom w:val="single" w:sz="8" w:space="0" w:color="FFFFFF"/>
              <w:right w:val="single" w:sz="8" w:space="0" w:color="FFFFFF"/>
            </w:tcBorders>
            <w:shd w:val="clear" w:color="000000" w:fill="B7DEE8"/>
            <w:noWrap/>
            <w:vAlign w:val="center"/>
            <w:hideMark/>
          </w:tcPr>
          <w:p w14:paraId="27B1E549"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ANNOIS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6EB5F57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284.04</w:t>
            </w:r>
          </w:p>
        </w:tc>
        <w:tc>
          <w:tcPr>
            <w:tcW w:w="1150" w:type="dxa"/>
            <w:tcBorders>
              <w:top w:val="nil"/>
              <w:left w:val="nil"/>
              <w:bottom w:val="single" w:sz="8" w:space="0" w:color="FFFFFF"/>
              <w:right w:val="single" w:sz="8" w:space="0" w:color="FFFFFF"/>
            </w:tcBorders>
            <w:shd w:val="clear" w:color="000000" w:fill="B7DEE8"/>
            <w:noWrap/>
            <w:vAlign w:val="center"/>
            <w:hideMark/>
          </w:tcPr>
          <w:p w14:paraId="5595B44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6B3326D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18,463</w:t>
            </w:r>
          </w:p>
        </w:tc>
        <w:tc>
          <w:tcPr>
            <w:tcW w:w="1360" w:type="dxa"/>
            <w:tcBorders>
              <w:top w:val="nil"/>
              <w:left w:val="nil"/>
              <w:bottom w:val="single" w:sz="8" w:space="0" w:color="FFFFFF"/>
              <w:right w:val="single" w:sz="8" w:space="0" w:color="auto"/>
            </w:tcBorders>
            <w:shd w:val="clear" w:color="000000" w:fill="B7DEE8"/>
            <w:noWrap/>
            <w:vAlign w:val="center"/>
            <w:hideMark/>
          </w:tcPr>
          <w:p w14:paraId="24652440"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14D89E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60B8A383"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FP_000725</w:t>
            </w:r>
          </w:p>
        </w:tc>
        <w:tc>
          <w:tcPr>
            <w:tcW w:w="2860" w:type="dxa"/>
            <w:tcBorders>
              <w:top w:val="nil"/>
              <w:left w:val="nil"/>
              <w:bottom w:val="single" w:sz="8" w:space="0" w:color="FFFFFF"/>
              <w:right w:val="single" w:sz="8" w:space="0" w:color="FFFFFF"/>
            </w:tcBorders>
            <w:shd w:val="clear" w:color="000000" w:fill="DAEEF3"/>
            <w:noWrap/>
            <w:vAlign w:val="center"/>
            <w:hideMark/>
          </w:tcPr>
          <w:p w14:paraId="2665B32E"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MELLER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2697B65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116.44</w:t>
            </w:r>
          </w:p>
        </w:tc>
        <w:tc>
          <w:tcPr>
            <w:tcW w:w="1150" w:type="dxa"/>
            <w:tcBorders>
              <w:top w:val="nil"/>
              <w:left w:val="nil"/>
              <w:bottom w:val="single" w:sz="8" w:space="0" w:color="FFFFFF"/>
              <w:right w:val="single" w:sz="8" w:space="0" w:color="FFFFFF"/>
            </w:tcBorders>
            <w:shd w:val="clear" w:color="000000" w:fill="DAEEF3"/>
            <w:noWrap/>
            <w:vAlign w:val="center"/>
            <w:hideMark/>
          </w:tcPr>
          <w:p w14:paraId="253AFE2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6334C9C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7,569</w:t>
            </w:r>
          </w:p>
        </w:tc>
        <w:tc>
          <w:tcPr>
            <w:tcW w:w="1360" w:type="dxa"/>
            <w:tcBorders>
              <w:top w:val="nil"/>
              <w:left w:val="nil"/>
              <w:bottom w:val="single" w:sz="8" w:space="0" w:color="FFFFFF"/>
              <w:right w:val="single" w:sz="8" w:space="0" w:color="auto"/>
            </w:tcBorders>
            <w:shd w:val="clear" w:color="000000" w:fill="DAEEF3"/>
            <w:noWrap/>
            <w:vAlign w:val="center"/>
            <w:hideMark/>
          </w:tcPr>
          <w:p w14:paraId="7B2DA630"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112CC53"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36B05689"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FP_000727</w:t>
            </w:r>
          </w:p>
        </w:tc>
        <w:tc>
          <w:tcPr>
            <w:tcW w:w="2860" w:type="dxa"/>
            <w:tcBorders>
              <w:top w:val="nil"/>
              <w:left w:val="nil"/>
              <w:bottom w:val="single" w:sz="8" w:space="0" w:color="FFFFFF"/>
              <w:right w:val="single" w:sz="8" w:space="0" w:color="FFFFFF"/>
            </w:tcBorders>
            <w:shd w:val="clear" w:color="000000" w:fill="B7DEE8"/>
            <w:noWrap/>
            <w:vAlign w:val="center"/>
            <w:hideMark/>
          </w:tcPr>
          <w:p w14:paraId="25F483AA"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MELLER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306BC59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100.44</w:t>
            </w:r>
          </w:p>
        </w:tc>
        <w:tc>
          <w:tcPr>
            <w:tcW w:w="1150" w:type="dxa"/>
            <w:tcBorders>
              <w:top w:val="nil"/>
              <w:left w:val="nil"/>
              <w:bottom w:val="single" w:sz="8" w:space="0" w:color="FFFFFF"/>
              <w:right w:val="single" w:sz="8" w:space="0" w:color="FFFFFF"/>
            </w:tcBorders>
            <w:shd w:val="clear" w:color="000000" w:fill="B7DEE8"/>
            <w:noWrap/>
            <w:vAlign w:val="center"/>
            <w:hideMark/>
          </w:tcPr>
          <w:p w14:paraId="3187C12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40095E0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6,529</w:t>
            </w:r>
          </w:p>
        </w:tc>
        <w:tc>
          <w:tcPr>
            <w:tcW w:w="1360" w:type="dxa"/>
            <w:tcBorders>
              <w:top w:val="nil"/>
              <w:left w:val="nil"/>
              <w:bottom w:val="single" w:sz="8" w:space="0" w:color="FFFFFF"/>
              <w:right w:val="single" w:sz="8" w:space="0" w:color="auto"/>
            </w:tcBorders>
            <w:shd w:val="clear" w:color="000000" w:fill="B7DEE8"/>
            <w:noWrap/>
            <w:vAlign w:val="center"/>
            <w:hideMark/>
          </w:tcPr>
          <w:p w14:paraId="4268946C"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3A732BD"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093564D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FP_002020</w:t>
            </w:r>
          </w:p>
        </w:tc>
        <w:tc>
          <w:tcPr>
            <w:tcW w:w="2860" w:type="dxa"/>
            <w:tcBorders>
              <w:top w:val="nil"/>
              <w:left w:val="nil"/>
              <w:bottom w:val="single" w:sz="8" w:space="0" w:color="FFFFFF"/>
              <w:right w:val="single" w:sz="8" w:space="0" w:color="FFFFFF"/>
            </w:tcBorders>
            <w:shd w:val="clear" w:color="000000" w:fill="DAEEF3"/>
            <w:noWrap/>
            <w:vAlign w:val="center"/>
            <w:hideMark/>
          </w:tcPr>
          <w:p w14:paraId="606B74E2"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CAMILLO STREET</w:t>
            </w:r>
          </w:p>
        </w:tc>
        <w:tc>
          <w:tcPr>
            <w:tcW w:w="1051" w:type="dxa"/>
            <w:tcBorders>
              <w:top w:val="nil"/>
              <w:left w:val="nil"/>
              <w:bottom w:val="single" w:sz="8" w:space="0" w:color="FFFFFF"/>
              <w:right w:val="single" w:sz="8" w:space="0" w:color="FFFFFF"/>
            </w:tcBorders>
            <w:shd w:val="clear" w:color="000000" w:fill="DAEEF3"/>
            <w:noWrap/>
            <w:vAlign w:val="center"/>
            <w:hideMark/>
          </w:tcPr>
          <w:p w14:paraId="156FF2F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295.06</w:t>
            </w:r>
          </w:p>
        </w:tc>
        <w:tc>
          <w:tcPr>
            <w:tcW w:w="1150" w:type="dxa"/>
            <w:tcBorders>
              <w:top w:val="nil"/>
              <w:left w:val="nil"/>
              <w:bottom w:val="single" w:sz="8" w:space="0" w:color="FFFFFF"/>
              <w:right w:val="single" w:sz="8" w:space="0" w:color="FFFFFF"/>
            </w:tcBorders>
            <w:shd w:val="clear" w:color="000000" w:fill="DAEEF3"/>
            <w:noWrap/>
            <w:vAlign w:val="center"/>
            <w:hideMark/>
          </w:tcPr>
          <w:p w14:paraId="02C7F68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4C49268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19,179</w:t>
            </w:r>
          </w:p>
        </w:tc>
        <w:tc>
          <w:tcPr>
            <w:tcW w:w="1360" w:type="dxa"/>
            <w:tcBorders>
              <w:top w:val="nil"/>
              <w:left w:val="nil"/>
              <w:bottom w:val="single" w:sz="8" w:space="0" w:color="FFFFFF"/>
              <w:right w:val="single" w:sz="8" w:space="0" w:color="auto"/>
            </w:tcBorders>
            <w:shd w:val="clear" w:color="000000" w:fill="DAEEF3"/>
            <w:noWrap/>
            <w:vAlign w:val="center"/>
            <w:hideMark/>
          </w:tcPr>
          <w:p w14:paraId="2D57FD8F"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D4D140D"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605243B1"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FP_003297</w:t>
            </w:r>
          </w:p>
        </w:tc>
        <w:tc>
          <w:tcPr>
            <w:tcW w:w="2860" w:type="dxa"/>
            <w:tcBorders>
              <w:top w:val="nil"/>
              <w:left w:val="nil"/>
              <w:bottom w:val="single" w:sz="8" w:space="0" w:color="FFFFFF"/>
              <w:right w:val="single" w:sz="8" w:space="0" w:color="FFFFFF"/>
            </w:tcBorders>
            <w:shd w:val="clear" w:color="000000" w:fill="B7DEE8"/>
            <w:noWrap/>
            <w:vAlign w:val="center"/>
            <w:hideMark/>
          </w:tcPr>
          <w:p w14:paraId="4EFBBEA2"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WINTERFOLD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2ACD24D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277.75</w:t>
            </w:r>
          </w:p>
        </w:tc>
        <w:tc>
          <w:tcPr>
            <w:tcW w:w="1150" w:type="dxa"/>
            <w:tcBorders>
              <w:top w:val="nil"/>
              <w:left w:val="nil"/>
              <w:bottom w:val="single" w:sz="8" w:space="0" w:color="FFFFFF"/>
              <w:right w:val="single" w:sz="8" w:space="0" w:color="FFFFFF"/>
            </w:tcBorders>
            <w:shd w:val="clear" w:color="000000" w:fill="B7DEE8"/>
            <w:noWrap/>
            <w:vAlign w:val="center"/>
            <w:hideMark/>
          </w:tcPr>
          <w:p w14:paraId="1B0A493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74A7439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18,054</w:t>
            </w:r>
          </w:p>
        </w:tc>
        <w:tc>
          <w:tcPr>
            <w:tcW w:w="1360" w:type="dxa"/>
            <w:tcBorders>
              <w:top w:val="nil"/>
              <w:left w:val="nil"/>
              <w:bottom w:val="single" w:sz="8" w:space="0" w:color="FFFFFF"/>
              <w:right w:val="single" w:sz="8" w:space="0" w:color="auto"/>
            </w:tcBorders>
            <w:shd w:val="clear" w:color="000000" w:fill="B7DEE8"/>
            <w:noWrap/>
            <w:vAlign w:val="center"/>
            <w:hideMark/>
          </w:tcPr>
          <w:p w14:paraId="4FD86FFD"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D19B9AA"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51071A14"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FP_000746</w:t>
            </w:r>
          </w:p>
        </w:tc>
        <w:tc>
          <w:tcPr>
            <w:tcW w:w="2860" w:type="dxa"/>
            <w:tcBorders>
              <w:top w:val="nil"/>
              <w:left w:val="nil"/>
              <w:bottom w:val="single" w:sz="8" w:space="0" w:color="FFFFFF"/>
              <w:right w:val="single" w:sz="8" w:space="0" w:color="FFFFFF"/>
            </w:tcBorders>
            <w:shd w:val="clear" w:color="000000" w:fill="DAEEF3"/>
            <w:noWrap/>
            <w:vAlign w:val="center"/>
            <w:hideMark/>
          </w:tcPr>
          <w:p w14:paraId="18804590"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PHOENIX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0BF9660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122.86</w:t>
            </w:r>
          </w:p>
        </w:tc>
        <w:tc>
          <w:tcPr>
            <w:tcW w:w="1150" w:type="dxa"/>
            <w:tcBorders>
              <w:top w:val="nil"/>
              <w:left w:val="nil"/>
              <w:bottom w:val="single" w:sz="8" w:space="0" w:color="FFFFFF"/>
              <w:right w:val="single" w:sz="8" w:space="0" w:color="FFFFFF"/>
            </w:tcBorders>
            <w:shd w:val="clear" w:color="000000" w:fill="DAEEF3"/>
            <w:noWrap/>
            <w:vAlign w:val="center"/>
            <w:hideMark/>
          </w:tcPr>
          <w:p w14:paraId="79CCD82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428D9C1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7985.9</w:t>
            </w:r>
          </w:p>
        </w:tc>
        <w:tc>
          <w:tcPr>
            <w:tcW w:w="1360" w:type="dxa"/>
            <w:tcBorders>
              <w:top w:val="nil"/>
              <w:left w:val="nil"/>
              <w:bottom w:val="single" w:sz="8" w:space="0" w:color="FFFFFF"/>
              <w:right w:val="single" w:sz="8" w:space="0" w:color="auto"/>
            </w:tcBorders>
            <w:shd w:val="clear" w:color="000000" w:fill="DAEEF3"/>
            <w:noWrap/>
            <w:vAlign w:val="center"/>
            <w:hideMark/>
          </w:tcPr>
          <w:p w14:paraId="4DAB3B96"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17B1F15"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1EF4963C"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FP_000699</w:t>
            </w:r>
          </w:p>
        </w:tc>
        <w:tc>
          <w:tcPr>
            <w:tcW w:w="2860" w:type="dxa"/>
            <w:tcBorders>
              <w:top w:val="nil"/>
              <w:left w:val="nil"/>
              <w:bottom w:val="single" w:sz="8" w:space="0" w:color="FFFFFF"/>
              <w:right w:val="single" w:sz="8" w:space="0" w:color="FFFFFF"/>
            </w:tcBorders>
            <w:shd w:val="clear" w:color="000000" w:fill="B7DEE8"/>
            <w:noWrap/>
            <w:vAlign w:val="center"/>
            <w:hideMark/>
          </w:tcPr>
          <w:p w14:paraId="28344FB8"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HOSKINS STREET</w:t>
            </w:r>
          </w:p>
        </w:tc>
        <w:tc>
          <w:tcPr>
            <w:tcW w:w="1051" w:type="dxa"/>
            <w:tcBorders>
              <w:top w:val="nil"/>
              <w:left w:val="nil"/>
              <w:bottom w:val="single" w:sz="8" w:space="0" w:color="FFFFFF"/>
              <w:right w:val="single" w:sz="8" w:space="0" w:color="FFFFFF"/>
            </w:tcBorders>
            <w:shd w:val="clear" w:color="000000" w:fill="B7DEE8"/>
            <w:noWrap/>
            <w:vAlign w:val="center"/>
            <w:hideMark/>
          </w:tcPr>
          <w:p w14:paraId="79E30A1A"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189.6</w:t>
            </w:r>
          </w:p>
        </w:tc>
        <w:tc>
          <w:tcPr>
            <w:tcW w:w="1150" w:type="dxa"/>
            <w:tcBorders>
              <w:top w:val="nil"/>
              <w:left w:val="nil"/>
              <w:bottom w:val="single" w:sz="8" w:space="0" w:color="FFFFFF"/>
              <w:right w:val="single" w:sz="8" w:space="0" w:color="FFFFFF"/>
            </w:tcBorders>
            <w:shd w:val="clear" w:color="000000" w:fill="B7DEE8"/>
            <w:noWrap/>
            <w:vAlign w:val="center"/>
            <w:hideMark/>
          </w:tcPr>
          <w:p w14:paraId="1607737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36E67FEA"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12,324</w:t>
            </w:r>
          </w:p>
        </w:tc>
        <w:tc>
          <w:tcPr>
            <w:tcW w:w="1360" w:type="dxa"/>
            <w:tcBorders>
              <w:top w:val="nil"/>
              <w:left w:val="nil"/>
              <w:bottom w:val="single" w:sz="8" w:space="0" w:color="FFFFFF"/>
              <w:right w:val="single" w:sz="8" w:space="0" w:color="auto"/>
            </w:tcBorders>
            <w:shd w:val="clear" w:color="000000" w:fill="B7DEE8"/>
            <w:noWrap/>
            <w:vAlign w:val="center"/>
            <w:hideMark/>
          </w:tcPr>
          <w:p w14:paraId="43C6175D"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518DBFC"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0B64295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FP_002146</w:t>
            </w:r>
          </w:p>
        </w:tc>
        <w:tc>
          <w:tcPr>
            <w:tcW w:w="2860" w:type="dxa"/>
            <w:tcBorders>
              <w:top w:val="nil"/>
              <w:left w:val="nil"/>
              <w:bottom w:val="single" w:sz="8" w:space="0" w:color="FFFFFF"/>
              <w:right w:val="single" w:sz="8" w:space="0" w:color="FFFFFF"/>
            </w:tcBorders>
            <w:shd w:val="clear" w:color="000000" w:fill="DAEEF3"/>
            <w:noWrap/>
            <w:vAlign w:val="center"/>
            <w:hideMark/>
          </w:tcPr>
          <w:p w14:paraId="1C93D298"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BRIGGS STREET</w:t>
            </w:r>
          </w:p>
        </w:tc>
        <w:tc>
          <w:tcPr>
            <w:tcW w:w="1051" w:type="dxa"/>
            <w:tcBorders>
              <w:top w:val="nil"/>
              <w:left w:val="nil"/>
              <w:bottom w:val="single" w:sz="8" w:space="0" w:color="FFFFFF"/>
              <w:right w:val="single" w:sz="8" w:space="0" w:color="FFFFFF"/>
            </w:tcBorders>
            <w:shd w:val="clear" w:color="000000" w:fill="DAEEF3"/>
            <w:noWrap/>
            <w:vAlign w:val="center"/>
            <w:hideMark/>
          </w:tcPr>
          <w:p w14:paraId="6E02C3B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251.48</w:t>
            </w:r>
          </w:p>
        </w:tc>
        <w:tc>
          <w:tcPr>
            <w:tcW w:w="1150" w:type="dxa"/>
            <w:tcBorders>
              <w:top w:val="nil"/>
              <w:left w:val="nil"/>
              <w:bottom w:val="single" w:sz="8" w:space="0" w:color="FFFFFF"/>
              <w:right w:val="single" w:sz="8" w:space="0" w:color="FFFFFF"/>
            </w:tcBorders>
            <w:shd w:val="clear" w:color="000000" w:fill="DAEEF3"/>
            <w:noWrap/>
            <w:vAlign w:val="center"/>
            <w:hideMark/>
          </w:tcPr>
          <w:p w14:paraId="7B1B540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6273062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16,346</w:t>
            </w:r>
          </w:p>
        </w:tc>
        <w:tc>
          <w:tcPr>
            <w:tcW w:w="1360" w:type="dxa"/>
            <w:tcBorders>
              <w:top w:val="nil"/>
              <w:left w:val="nil"/>
              <w:bottom w:val="single" w:sz="8" w:space="0" w:color="FFFFFF"/>
              <w:right w:val="single" w:sz="8" w:space="0" w:color="auto"/>
            </w:tcBorders>
            <w:shd w:val="clear" w:color="000000" w:fill="DAEEF3"/>
            <w:noWrap/>
            <w:vAlign w:val="center"/>
            <w:hideMark/>
          </w:tcPr>
          <w:p w14:paraId="71BEF06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637F86E"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65BC1A1A"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FP_000895</w:t>
            </w:r>
          </w:p>
        </w:tc>
        <w:tc>
          <w:tcPr>
            <w:tcW w:w="2860" w:type="dxa"/>
            <w:tcBorders>
              <w:top w:val="nil"/>
              <w:left w:val="nil"/>
              <w:bottom w:val="single" w:sz="8" w:space="0" w:color="FFFFFF"/>
              <w:right w:val="single" w:sz="8" w:space="0" w:color="FFFFFF"/>
            </w:tcBorders>
            <w:shd w:val="clear" w:color="000000" w:fill="B7DEE8"/>
            <w:noWrap/>
            <w:vAlign w:val="center"/>
            <w:hideMark/>
          </w:tcPr>
          <w:p w14:paraId="7C424330"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MARBAN WAY</w:t>
            </w:r>
          </w:p>
        </w:tc>
        <w:tc>
          <w:tcPr>
            <w:tcW w:w="1051" w:type="dxa"/>
            <w:tcBorders>
              <w:top w:val="nil"/>
              <w:left w:val="nil"/>
              <w:bottom w:val="single" w:sz="8" w:space="0" w:color="FFFFFF"/>
              <w:right w:val="single" w:sz="8" w:space="0" w:color="FFFFFF"/>
            </w:tcBorders>
            <w:shd w:val="clear" w:color="000000" w:fill="B7DEE8"/>
            <w:noWrap/>
            <w:vAlign w:val="center"/>
            <w:hideMark/>
          </w:tcPr>
          <w:p w14:paraId="1518904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137.94</w:t>
            </w:r>
          </w:p>
        </w:tc>
        <w:tc>
          <w:tcPr>
            <w:tcW w:w="1150" w:type="dxa"/>
            <w:tcBorders>
              <w:top w:val="nil"/>
              <w:left w:val="nil"/>
              <w:bottom w:val="single" w:sz="8" w:space="0" w:color="FFFFFF"/>
              <w:right w:val="single" w:sz="8" w:space="0" w:color="FFFFFF"/>
            </w:tcBorders>
            <w:shd w:val="clear" w:color="000000" w:fill="B7DEE8"/>
            <w:noWrap/>
            <w:vAlign w:val="center"/>
            <w:hideMark/>
          </w:tcPr>
          <w:p w14:paraId="6A64002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1965FA5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8,966</w:t>
            </w:r>
          </w:p>
        </w:tc>
        <w:tc>
          <w:tcPr>
            <w:tcW w:w="1360" w:type="dxa"/>
            <w:tcBorders>
              <w:top w:val="nil"/>
              <w:left w:val="nil"/>
              <w:bottom w:val="single" w:sz="8" w:space="0" w:color="FFFFFF"/>
              <w:right w:val="single" w:sz="8" w:space="0" w:color="auto"/>
            </w:tcBorders>
            <w:shd w:val="clear" w:color="000000" w:fill="B7DEE8"/>
            <w:noWrap/>
            <w:vAlign w:val="center"/>
            <w:hideMark/>
          </w:tcPr>
          <w:p w14:paraId="7842655F"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D4D3EBB"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4C4264C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FP_003061</w:t>
            </w:r>
          </w:p>
        </w:tc>
        <w:tc>
          <w:tcPr>
            <w:tcW w:w="2860" w:type="dxa"/>
            <w:tcBorders>
              <w:top w:val="nil"/>
              <w:left w:val="nil"/>
              <w:bottom w:val="single" w:sz="8" w:space="0" w:color="FFFFFF"/>
              <w:right w:val="single" w:sz="8" w:space="0" w:color="FFFFFF"/>
            </w:tcBorders>
            <w:shd w:val="clear" w:color="000000" w:fill="DAEEF3"/>
            <w:noWrap/>
            <w:vAlign w:val="center"/>
            <w:hideMark/>
          </w:tcPr>
          <w:p w14:paraId="2A2232AA"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WILLIAMBURY DRIVE</w:t>
            </w:r>
          </w:p>
        </w:tc>
        <w:tc>
          <w:tcPr>
            <w:tcW w:w="1051" w:type="dxa"/>
            <w:tcBorders>
              <w:top w:val="nil"/>
              <w:left w:val="nil"/>
              <w:bottom w:val="single" w:sz="8" w:space="0" w:color="FFFFFF"/>
              <w:right w:val="single" w:sz="8" w:space="0" w:color="FFFFFF"/>
            </w:tcBorders>
            <w:shd w:val="clear" w:color="000000" w:fill="DAEEF3"/>
            <w:noWrap/>
            <w:vAlign w:val="center"/>
            <w:hideMark/>
          </w:tcPr>
          <w:p w14:paraId="7CFE78F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132.12</w:t>
            </w:r>
          </w:p>
        </w:tc>
        <w:tc>
          <w:tcPr>
            <w:tcW w:w="1150" w:type="dxa"/>
            <w:tcBorders>
              <w:top w:val="nil"/>
              <w:left w:val="nil"/>
              <w:bottom w:val="single" w:sz="8" w:space="0" w:color="FFFFFF"/>
              <w:right w:val="single" w:sz="8" w:space="0" w:color="FFFFFF"/>
            </w:tcBorders>
            <w:shd w:val="clear" w:color="000000" w:fill="DAEEF3"/>
            <w:noWrap/>
            <w:vAlign w:val="center"/>
            <w:hideMark/>
          </w:tcPr>
          <w:p w14:paraId="4972F04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597879C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8,588</w:t>
            </w:r>
          </w:p>
        </w:tc>
        <w:tc>
          <w:tcPr>
            <w:tcW w:w="1360" w:type="dxa"/>
            <w:tcBorders>
              <w:top w:val="nil"/>
              <w:left w:val="nil"/>
              <w:bottom w:val="single" w:sz="8" w:space="0" w:color="FFFFFF"/>
              <w:right w:val="single" w:sz="8" w:space="0" w:color="auto"/>
            </w:tcBorders>
            <w:shd w:val="clear" w:color="000000" w:fill="DAEEF3"/>
            <w:noWrap/>
            <w:vAlign w:val="center"/>
            <w:hideMark/>
          </w:tcPr>
          <w:p w14:paraId="7DE4CB03"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538953F2"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276C6387"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FP_001027</w:t>
            </w:r>
          </w:p>
        </w:tc>
        <w:tc>
          <w:tcPr>
            <w:tcW w:w="2860" w:type="dxa"/>
            <w:tcBorders>
              <w:top w:val="nil"/>
              <w:left w:val="nil"/>
              <w:bottom w:val="single" w:sz="8" w:space="0" w:color="FFFFFF"/>
              <w:right w:val="single" w:sz="8" w:space="0" w:color="FFFFFF"/>
            </w:tcBorders>
            <w:shd w:val="clear" w:color="000000" w:fill="B7DEE8"/>
            <w:noWrap/>
            <w:vAlign w:val="center"/>
            <w:hideMark/>
          </w:tcPr>
          <w:p w14:paraId="0432F27C"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WILLIAMBURY DRIVE</w:t>
            </w:r>
          </w:p>
        </w:tc>
        <w:tc>
          <w:tcPr>
            <w:tcW w:w="1051" w:type="dxa"/>
            <w:tcBorders>
              <w:top w:val="nil"/>
              <w:left w:val="nil"/>
              <w:bottom w:val="single" w:sz="8" w:space="0" w:color="FFFFFF"/>
              <w:right w:val="single" w:sz="8" w:space="0" w:color="FFFFFF"/>
            </w:tcBorders>
            <w:shd w:val="clear" w:color="000000" w:fill="B7DEE8"/>
            <w:noWrap/>
            <w:vAlign w:val="center"/>
            <w:hideMark/>
          </w:tcPr>
          <w:p w14:paraId="318D3A9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84.4</w:t>
            </w:r>
          </w:p>
        </w:tc>
        <w:tc>
          <w:tcPr>
            <w:tcW w:w="1150" w:type="dxa"/>
            <w:tcBorders>
              <w:top w:val="nil"/>
              <w:left w:val="nil"/>
              <w:bottom w:val="single" w:sz="8" w:space="0" w:color="FFFFFF"/>
              <w:right w:val="single" w:sz="8" w:space="0" w:color="FFFFFF"/>
            </w:tcBorders>
            <w:shd w:val="clear" w:color="000000" w:fill="B7DEE8"/>
            <w:noWrap/>
            <w:vAlign w:val="center"/>
            <w:hideMark/>
          </w:tcPr>
          <w:p w14:paraId="120E826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51ACD24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5,486</w:t>
            </w:r>
          </w:p>
        </w:tc>
        <w:tc>
          <w:tcPr>
            <w:tcW w:w="1360" w:type="dxa"/>
            <w:tcBorders>
              <w:top w:val="nil"/>
              <w:left w:val="nil"/>
              <w:bottom w:val="single" w:sz="8" w:space="0" w:color="FFFFFF"/>
              <w:right w:val="single" w:sz="8" w:space="0" w:color="auto"/>
            </w:tcBorders>
            <w:shd w:val="clear" w:color="000000" w:fill="B7DEE8"/>
            <w:noWrap/>
            <w:vAlign w:val="center"/>
            <w:hideMark/>
          </w:tcPr>
          <w:p w14:paraId="6E0BBE1D"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7E34C122"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56665D07"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FP_000432</w:t>
            </w:r>
          </w:p>
        </w:tc>
        <w:tc>
          <w:tcPr>
            <w:tcW w:w="2860" w:type="dxa"/>
            <w:tcBorders>
              <w:top w:val="nil"/>
              <w:left w:val="nil"/>
              <w:bottom w:val="single" w:sz="8" w:space="0" w:color="FFFFFF"/>
              <w:right w:val="single" w:sz="8" w:space="0" w:color="FFFFFF"/>
            </w:tcBorders>
            <w:shd w:val="clear" w:color="000000" w:fill="DAEEF3"/>
            <w:noWrap/>
            <w:vAlign w:val="center"/>
            <w:hideMark/>
          </w:tcPr>
          <w:p w14:paraId="300BC7E3"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WILLIAMBURY DRIVE</w:t>
            </w:r>
          </w:p>
        </w:tc>
        <w:tc>
          <w:tcPr>
            <w:tcW w:w="1051" w:type="dxa"/>
            <w:tcBorders>
              <w:top w:val="nil"/>
              <w:left w:val="nil"/>
              <w:bottom w:val="single" w:sz="8" w:space="0" w:color="FFFFFF"/>
              <w:right w:val="single" w:sz="8" w:space="0" w:color="FFFFFF"/>
            </w:tcBorders>
            <w:shd w:val="clear" w:color="000000" w:fill="DAEEF3"/>
            <w:noWrap/>
            <w:vAlign w:val="center"/>
            <w:hideMark/>
          </w:tcPr>
          <w:p w14:paraId="4F0009F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58.79</w:t>
            </w:r>
          </w:p>
        </w:tc>
        <w:tc>
          <w:tcPr>
            <w:tcW w:w="1150" w:type="dxa"/>
            <w:tcBorders>
              <w:top w:val="nil"/>
              <w:left w:val="nil"/>
              <w:bottom w:val="single" w:sz="8" w:space="0" w:color="FFFFFF"/>
              <w:right w:val="single" w:sz="8" w:space="0" w:color="FFFFFF"/>
            </w:tcBorders>
            <w:shd w:val="clear" w:color="000000" w:fill="DAEEF3"/>
            <w:noWrap/>
            <w:vAlign w:val="center"/>
            <w:hideMark/>
          </w:tcPr>
          <w:p w14:paraId="4F8BDD1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43ACAAD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3,821</w:t>
            </w:r>
          </w:p>
        </w:tc>
        <w:tc>
          <w:tcPr>
            <w:tcW w:w="1360" w:type="dxa"/>
            <w:tcBorders>
              <w:top w:val="nil"/>
              <w:left w:val="nil"/>
              <w:bottom w:val="single" w:sz="8" w:space="0" w:color="FFFFFF"/>
              <w:right w:val="single" w:sz="8" w:space="0" w:color="auto"/>
            </w:tcBorders>
            <w:shd w:val="clear" w:color="000000" w:fill="DAEEF3"/>
            <w:noWrap/>
            <w:vAlign w:val="center"/>
            <w:hideMark/>
          </w:tcPr>
          <w:p w14:paraId="5222055E"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03B7D8E7"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48E23B53"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FP_000720</w:t>
            </w:r>
          </w:p>
        </w:tc>
        <w:tc>
          <w:tcPr>
            <w:tcW w:w="2860" w:type="dxa"/>
            <w:tcBorders>
              <w:top w:val="nil"/>
              <w:left w:val="nil"/>
              <w:bottom w:val="single" w:sz="8" w:space="0" w:color="FFFFFF"/>
              <w:right w:val="single" w:sz="8" w:space="0" w:color="FFFFFF"/>
            </w:tcBorders>
            <w:shd w:val="clear" w:color="000000" w:fill="B7DEE8"/>
            <w:noWrap/>
            <w:vAlign w:val="center"/>
            <w:hideMark/>
          </w:tcPr>
          <w:p w14:paraId="2A0AB04D"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ROCKINGHAM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771A48F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65.44</w:t>
            </w:r>
          </w:p>
        </w:tc>
        <w:tc>
          <w:tcPr>
            <w:tcW w:w="1150" w:type="dxa"/>
            <w:tcBorders>
              <w:top w:val="nil"/>
              <w:left w:val="nil"/>
              <w:bottom w:val="single" w:sz="8" w:space="0" w:color="FFFFFF"/>
              <w:right w:val="single" w:sz="8" w:space="0" w:color="FFFFFF"/>
            </w:tcBorders>
            <w:shd w:val="clear" w:color="000000" w:fill="B7DEE8"/>
            <w:noWrap/>
            <w:vAlign w:val="center"/>
            <w:hideMark/>
          </w:tcPr>
          <w:p w14:paraId="466D56F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6BAEF11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4,254</w:t>
            </w:r>
          </w:p>
        </w:tc>
        <w:tc>
          <w:tcPr>
            <w:tcW w:w="1360" w:type="dxa"/>
            <w:tcBorders>
              <w:top w:val="nil"/>
              <w:left w:val="nil"/>
              <w:bottom w:val="single" w:sz="8" w:space="0" w:color="FFFFFF"/>
              <w:right w:val="single" w:sz="8" w:space="0" w:color="auto"/>
            </w:tcBorders>
            <w:shd w:val="clear" w:color="000000" w:fill="B7DEE8"/>
            <w:noWrap/>
            <w:vAlign w:val="center"/>
            <w:hideMark/>
          </w:tcPr>
          <w:p w14:paraId="3164D12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640DDE3"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3F08B756"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FP_001950</w:t>
            </w:r>
          </w:p>
        </w:tc>
        <w:tc>
          <w:tcPr>
            <w:tcW w:w="2860" w:type="dxa"/>
            <w:tcBorders>
              <w:top w:val="nil"/>
              <w:left w:val="nil"/>
              <w:bottom w:val="single" w:sz="8" w:space="0" w:color="FFFFFF"/>
              <w:right w:val="single" w:sz="8" w:space="0" w:color="FFFFFF"/>
            </w:tcBorders>
            <w:shd w:val="clear" w:color="000000" w:fill="DAEEF3"/>
            <w:noWrap/>
            <w:vAlign w:val="center"/>
            <w:hideMark/>
          </w:tcPr>
          <w:p w14:paraId="4C6E3888"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WINFIELD STREET</w:t>
            </w:r>
          </w:p>
        </w:tc>
        <w:tc>
          <w:tcPr>
            <w:tcW w:w="1051" w:type="dxa"/>
            <w:tcBorders>
              <w:top w:val="nil"/>
              <w:left w:val="nil"/>
              <w:bottom w:val="single" w:sz="8" w:space="0" w:color="FFFFFF"/>
              <w:right w:val="single" w:sz="8" w:space="0" w:color="FFFFFF"/>
            </w:tcBorders>
            <w:shd w:val="clear" w:color="000000" w:fill="DAEEF3"/>
            <w:noWrap/>
            <w:vAlign w:val="center"/>
            <w:hideMark/>
          </w:tcPr>
          <w:p w14:paraId="3B7B8E8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171.57</w:t>
            </w:r>
          </w:p>
        </w:tc>
        <w:tc>
          <w:tcPr>
            <w:tcW w:w="1150" w:type="dxa"/>
            <w:tcBorders>
              <w:top w:val="nil"/>
              <w:left w:val="nil"/>
              <w:bottom w:val="single" w:sz="8" w:space="0" w:color="FFFFFF"/>
              <w:right w:val="single" w:sz="8" w:space="0" w:color="FFFFFF"/>
            </w:tcBorders>
            <w:shd w:val="clear" w:color="000000" w:fill="DAEEF3"/>
            <w:noWrap/>
            <w:vAlign w:val="center"/>
            <w:hideMark/>
          </w:tcPr>
          <w:p w14:paraId="0E1791B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393D9D3A"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11,152</w:t>
            </w:r>
          </w:p>
        </w:tc>
        <w:tc>
          <w:tcPr>
            <w:tcW w:w="1360" w:type="dxa"/>
            <w:tcBorders>
              <w:top w:val="nil"/>
              <w:left w:val="nil"/>
              <w:bottom w:val="single" w:sz="8" w:space="0" w:color="FFFFFF"/>
              <w:right w:val="single" w:sz="8" w:space="0" w:color="auto"/>
            </w:tcBorders>
            <w:shd w:val="clear" w:color="000000" w:fill="DAEEF3"/>
            <w:noWrap/>
            <w:vAlign w:val="center"/>
            <w:hideMark/>
          </w:tcPr>
          <w:p w14:paraId="0BC5970F"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99CA427"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718D1338"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FP_001951</w:t>
            </w:r>
          </w:p>
        </w:tc>
        <w:tc>
          <w:tcPr>
            <w:tcW w:w="2860" w:type="dxa"/>
            <w:tcBorders>
              <w:top w:val="nil"/>
              <w:left w:val="nil"/>
              <w:bottom w:val="single" w:sz="8" w:space="0" w:color="FFFFFF"/>
              <w:right w:val="single" w:sz="8" w:space="0" w:color="FFFFFF"/>
            </w:tcBorders>
            <w:shd w:val="clear" w:color="000000" w:fill="B7DEE8"/>
            <w:noWrap/>
            <w:vAlign w:val="center"/>
            <w:hideMark/>
          </w:tcPr>
          <w:p w14:paraId="4C274FA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WINFIELD STREET</w:t>
            </w:r>
          </w:p>
        </w:tc>
        <w:tc>
          <w:tcPr>
            <w:tcW w:w="1051" w:type="dxa"/>
            <w:tcBorders>
              <w:top w:val="nil"/>
              <w:left w:val="nil"/>
              <w:bottom w:val="single" w:sz="8" w:space="0" w:color="FFFFFF"/>
              <w:right w:val="single" w:sz="8" w:space="0" w:color="FFFFFF"/>
            </w:tcBorders>
            <w:shd w:val="clear" w:color="000000" w:fill="B7DEE8"/>
            <w:noWrap/>
            <w:vAlign w:val="center"/>
            <w:hideMark/>
          </w:tcPr>
          <w:p w14:paraId="1B28249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159.72</w:t>
            </w:r>
          </w:p>
        </w:tc>
        <w:tc>
          <w:tcPr>
            <w:tcW w:w="1150" w:type="dxa"/>
            <w:tcBorders>
              <w:top w:val="nil"/>
              <w:left w:val="nil"/>
              <w:bottom w:val="single" w:sz="8" w:space="0" w:color="FFFFFF"/>
              <w:right w:val="single" w:sz="8" w:space="0" w:color="FFFFFF"/>
            </w:tcBorders>
            <w:shd w:val="clear" w:color="000000" w:fill="B7DEE8"/>
            <w:noWrap/>
            <w:vAlign w:val="center"/>
            <w:hideMark/>
          </w:tcPr>
          <w:p w14:paraId="6E0FB98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B7DEE8"/>
            <w:noWrap/>
            <w:vAlign w:val="center"/>
            <w:hideMark/>
          </w:tcPr>
          <w:p w14:paraId="6C4D244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10,382</w:t>
            </w:r>
          </w:p>
        </w:tc>
        <w:tc>
          <w:tcPr>
            <w:tcW w:w="1360" w:type="dxa"/>
            <w:tcBorders>
              <w:top w:val="nil"/>
              <w:left w:val="nil"/>
              <w:bottom w:val="single" w:sz="8" w:space="0" w:color="FFFFFF"/>
              <w:right w:val="single" w:sz="8" w:space="0" w:color="auto"/>
            </w:tcBorders>
            <w:shd w:val="clear" w:color="000000" w:fill="B7DEE8"/>
            <w:noWrap/>
            <w:vAlign w:val="center"/>
            <w:hideMark/>
          </w:tcPr>
          <w:p w14:paraId="667535C5"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74F7943C"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495240F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FP_000705</w:t>
            </w:r>
          </w:p>
        </w:tc>
        <w:tc>
          <w:tcPr>
            <w:tcW w:w="2860" w:type="dxa"/>
            <w:tcBorders>
              <w:top w:val="nil"/>
              <w:left w:val="nil"/>
              <w:bottom w:val="single" w:sz="8" w:space="0" w:color="FFFFFF"/>
              <w:right w:val="single" w:sz="8" w:space="0" w:color="FFFFFF"/>
            </w:tcBorders>
            <w:shd w:val="clear" w:color="000000" w:fill="DAEEF3"/>
            <w:noWrap/>
            <w:vAlign w:val="center"/>
            <w:hideMark/>
          </w:tcPr>
          <w:p w14:paraId="7393F50F"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DAEEF3"/>
            <w:noWrap/>
            <w:vAlign w:val="center"/>
            <w:hideMark/>
          </w:tcPr>
          <w:p w14:paraId="0E2D47C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32.69</w:t>
            </w:r>
          </w:p>
        </w:tc>
        <w:tc>
          <w:tcPr>
            <w:tcW w:w="1150" w:type="dxa"/>
            <w:tcBorders>
              <w:top w:val="nil"/>
              <w:left w:val="nil"/>
              <w:bottom w:val="single" w:sz="8" w:space="0" w:color="FFFFFF"/>
              <w:right w:val="single" w:sz="8" w:space="0" w:color="FFFFFF"/>
            </w:tcBorders>
            <w:shd w:val="clear" w:color="000000" w:fill="DAEEF3"/>
            <w:noWrap/>
            <w:vAlign w:val="center"/>
            <w:hideMark/>
          </w:tcPr>
          <w:p w14:paraId="7A272C3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w:t>
            </w:r>
          </w:p>
        </w:tc>
        <w:tc>
          <w:tcPr>
            <w:tcW w:w="1500" w:type="dxa"/>
            <w:tcBorders>
              <w:top w:val="nil"/>
              <w:left w:val="nil"/>
              <w:bottom w:val="single" w:sz="8" w:space="0" w:color="FFFFFF"/>
              <w:right w:val="single" w:sz="8" w:space="0" w:color="FFFFFF"/>
            </w:tcBorders>
            <w:shd w:val="clear" w:color="000000" w:fill="DAEEF3"/>
            <w:noWrap/>
            <w:vAlign w:val="center"/>
            <w:hideMark/>
          </w:tcPr>
          <w:p w14:paraId="4BD7A65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654</w:t>
            </w:r>
          </w:p>
        </w:tc>
        <w:tc>
          <w:tcPr>
            <w:tcW w:w="1360" w:type="dxa"/>
            <w:tcBorders>
              <w:top w:val="nil"/>
              <w:left w:val="nil"/>
              <w:bottom w:val="single" w:sz="8" w:space="0" w:color="FFFFFF"/>
              <w:right w:val="single" w:sz="8" w:space="0" w:color="auto"/>
            </w:tcBorders>
            <w:shd w:val="clear" w:color="000000" w:fill="DAEEF3"/>
            <w:noWrap/>
            <w:vAlign w:val="center"/>
            <w:hideMark/>
          </w:tcPr>
          <w:p w14:paraId="2B158E0F"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DEB3809"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58FECA3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FP_000396</w:t>
            </w:r>
          </w:p>
        </w:tc>
        <w:tc>
          <w:tcPr>
            <w:tcW w:w="2860" w:type="dxa"/>
            <w:tcBorders>
              <w:top w:val="nil"/>
              <w:left w:val="nil"/>
              <w:bottom w:val="single" w:sz="8" w:space="0" w:color="FFFFFF"/>
              <w:right w:val="single" w:sz="8" w:space="0" w:color="FFFFFF"/>
            </w:tcBorders>
            <w:shd w:val="clear" w:color="000000" w:fill="B7DEE8"/>
            <w:noWrap/>
            <w:vAlign w:val="center"/>
            <w:hideMark/>
          </w:tcPr>
          <w:p w14:paraId="41A17D85"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SOUTH LAKE DRIVE</w:t>
            </w:r>
          </w:p>
        </w:tc>
        <w:tc>
          <w:tcPr>
            <w:tcW w:w="1051" w:type="dxa"/>
            <w:tcBorders>
              <w:top w:val="nil"/>
              <w:left w:val="nil"/>
              <w:bottom w:val="single" w:sz="8" w:space="0" w:color="FFFFFF"/>
              <w:right w:val="single" w:sz="8" w:space="0" w:color="FFFFFF"/>
            </w:tcBorders>
            <w:shd w:val="clear" w:color="000000" w:fill="B7DEE8"/>
            <w:noWrap/>
            <w:vAlign w:val="center"/>
            <w:hideMark/>
          </w:tcPr>
          <w:p w14:paraId="6B593EB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356.86</w:t>
            </w:r>
          </w:p>
        </w:tc>
        <w:tc>
          <w:tcPr>
            <w:tcW w:w="1150" w:type="dxa"/>
            <w:tcBorders>
              <w:top w:val="nil"/>
              <w:left w:val="nil"/>
              <w:bottom w:val="single" w:sz="8" w:space="0" w:color="FFFFFF"/>
              <w:right w:val="single" w:sz="8" w:space="0" w:color="FFFFFF"/>
            </w:tcBorders>
            <w:shd w:val="clear" w:color="000000" w:fill="B7DEE8"/>
            <w:noWrap/>
            <w:vAlign w:val="center"/>
            <w:hideMark/>
          </w:tcPr>
          <w:p w14:paraId="59C7E5CB"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64C78B9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23,196</w:t>
            </w:r>
          </w:p>
        </w:tc>
        <w:tc>
          <w:tcPr>
            <w:tcW w:w="1360" w:type="dxa"/>
            <w:tcBorders>
              <w:top w:val="nil"/>
              <w:left w:val="nil"/>
              <w:bottom w:val="single" w:sz="8" w:space="0" w:color="FFFFFF"/>
              <w:right w:val="single" w:sz="8" w:space="0" w:color="auto"/>
            </w:tcBorders>
            <w:shd w:val="clear" w:color="000000" w:fill="B7DEE8"/>
            <w:noWrap/>
            <w:vAlign w:val="center"/>
            <w:hideMark/>
          </w:tcPr>
          <w:p w14:paraId="564205F4"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7945F10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03D1754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FP_003819</w:t>
            </w:r>
          </w:p>
        </w:tc>
        <w:tc>
          <w:tcPr>
            <w:tcW w:w="2860" w:type="dxa"/>
            <w:tcBorders>
              <w:top w:val="nil"/>
              <w:left w:val="nil"/>
              <w:bottom w:val="single" w:sz="8" w:space="0" w:color="FFFFFF"/>
              <w:right w:val="single" w:sz="8" w:space="0" w:color="FFFFFF"/>
            </w:tcBorders>
            <w:shd w:val="clear" w:color="000000" w:fill="DAEEF3"/>
            <w:noWrap/>
            <w:vAlign w:val="center"/>
            <w:hideMark/>
          </w:tcPr>
          <w:p w14:paraId="158E087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SOUTH LAKE DRIVE</w:t>
            </w:r>
          </w:p>
        </w:tc>
        <w:tc>
          <w:tcPr>
            <w:tcW w:w="1051" w:type="dxa"/>
            <w:tcBorders>
              <w:top w:val="nil"/>
              <w:left w:val="nil"/>
              <w:bottom w:val="single" w:sz="8" w:space="0" w:color="FFFFFF"/>
              <w:right w:val="single" w:sz="8" w:space="0" w:color="FFFFFF"/>
            </w:tcBorders>
            <w:shd w:val="clear" w:color="000000" w:fill="DAEEF3"/>
            <w:noWrap/>
            <w:vAlign w:val="center"/>
            <w:hideMark/>
          </w:tcPr>
          <w:p w14:paraId="04E813A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515.61</w:t>
            </w:r>
          </w:p>
        </w:tc>
        <w:tc>
          <w:tcPr>
            <w:tcW w:w="1150" w:type="dxa"/>
            <w:tcBorders>
              <w:top w:val="nil"/>
              <w:left w:val="nil"/>
              <w:bottom w:val="single" w:sz="8" w:space="0" w:color="FFFFFF"/>
              <w:right w:val="single" w:sz="8" w:space="0" w:color="FFFFFF"/>
            </w:tcBorders>
            <w:shd w:val="clear" w:color="000000" w:fill="DAEEF3"/>
            <w:noWrap/>
            <w:vAlign w:val="center"/>
            <w:hideMark/>
          </w:tcPr>
          <w:p w14:paraId="5647A82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160A542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33,515</w:t>
            </w:r>
          </w:p>
        </w:tc>
        <w:tc>
          <w:tcPr>
            <w:tcW w:w="1360" w:type="dxa"/>
            <w:tcBorders>
              <w:top w:val="nil"/>
              <w:left w:val="nil"/>
              <w:bottom w:val="single" w:sz="8" w:space="0" w:color="FFFFFF"/>
              <w:right w:val="single" w:sz="8" w:space="0" w:color="auto"/>
            </w:tcBorders>
            <w:shd w:val="clear" w:color="000000" w:fill="DAEEF3"/>
            <w:noWrap/>
            <w:vAlign w:val="center"/>
            <w:hideMark/>
          </w:tcPr>
          <w:p w14:paraId="254C4027"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DF6207A"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0B3CAA15"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FP_000397</w:t>
            </w:r>
          </w:p>
        </w:tc>
        <w:tc>
          <w:tcPr>
            <w:tcW w:w="2860" w:type="dxa"/>
            <w:tcBorders>
              <w:top w:val="nil"/>
              <w:left w:val="nil"/>
              <w:bottom w:val="single" w:sz="8" w:space="0" w:color="FFFFFF"/>
              <w:right w:val="single" w:sz="8" w:space="0" w:color="FFFFFF"/>
            </w:tcBorders>
            <w:shd w:val="clear" w:color="000000" w:fill="B7DEE8"/>
            <w:noWrap/>
            <w:vAlign w:val="center"/>
            <w:hideMark/>
          </w:tcPr>
          <w:p w14:paraId="3155A9F1"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SOUTH LAKE DRIVE</w:t>
            </w:r>
          </w:p>
        </w:tc>
        <w:tc>
          <w:tcPr>
            <w:tcW w:w="1051" w:type="dxa"/>
            <w:tcBorders>
              <w:top w:val="nil"/>
              <w:left w:val="nil"/>
              <w:bottom w:val="single" w:sz="8" w:space="0" w:color="FFFFFF"/>
              <w:right w:val="single" w:sz="8" w:space="0" w:color="FFFFFF"/>
            </w:tcBorders>
            <w:shd w:val="clear" w:color="000000" w:fill="B7DEE8"/>
            <w:noWrap/>
            <w:vAlign w:val="center"/>
            <w:hideMark/>
          </w:tcPr>
          <w:p w14:paraId="3E6552E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185.24</w:t>
            </w:r>
          </w:p>
        </w:tc>
        <w:tc>
          <w:tcPr>
            <w:tcW w:w="1150" w:type="dxa"/>
            <w:tcBorders>
              <w:top w:val="nil"/>
              <w:left w:val="nil"/>
              <w:bottom w:val="single" w:sz="8" w:space="0" w:color="FFFFFF"/>
              <w:right w:val="single" w:sz="8" w:space="0" w:color="FFFFFF"/>
            </w:tcBorders>
            <w:shd w:val="clear" w:color="000000" w:fill="B7DEE8"/>
            <w:noWrap/>
            <w:vAlign w:val="center"/>
            <w:hideMark/>
          </w:tcPr>
          <w:p w14:paraId="50292A6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564D634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12,041</w:t>
            </w:r>
          </w:p>
        </w:tc>
        <w:tc>
          <w:tcPr>
            <w:tcW w:w="1360" w:type="dxa"/>
            <w:tcBorders>
              <w:top w:val="nil"/>
              <w:left w:val="nil"/>
              <w:bottom w:val="single" w:sz="8" w:space="0" w:color="FFFFFF"/>
              <w:right w:val="single" w:sz="8" w:space="0" w:color="auto"/>
            </w:tcBorders>
            <w:shd w:val="clear" w:color="000000" w:fill="B7DEE8"/>
            <w:noWrap/>
            <w:vAlign w:val="center"/>
            <w:hideMark/>
          </w:tcPr>
          <w:p w14:paraId="71E65FCD"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7D34283"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5648BC77"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FP_003826</w:t>
            </w:r>
          </w:p>
        </w:tc>
        <w:tc>
          <w:tcPr>
            <w:tcW w:w="2860" w:type="dxa"/>
            <w:tcBorders>
              <w:top w:val="nil"/>
              <w:left w:val="nil"/>
              <w:bottom w:val="single" w:sz="8" w:space="0" w:color="FFFFFF"/>
              <w:right w:val="single" w:sz="8" w:space="0" w:color="FFFFFF"/>
            </w:tcBorders>
            <w:shd w:val="clear" w:color="000000" w:fill="DAEEF3"/>
            <w:noWrap/>
            <w:vAlign w:val="center"/>
            <w:hideMark/>
          </w:tcPr>
          <w:p w14:paraId="3F72FA65"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ELDERBERRY DRIVE</w:t>
            </w:r>
          </w:p>
        </w:tc>
        <w:tc>
          <w:tcPr>
            <w:tcW w:w="1051" w:type="dxa"/>
            <w:tcBorders>
              <w:top w:val="nil"/>
              <w:left w:val="nil"/>
              <w:bottom w:val="single" w:sz="8" w:space="0" w:color="FFFFFF"/>
              <w:right w:val="single" w:sz="8" w:space="0" w:color="FFFFFF"/>
            </w:tcBorders>
            <w:shd w:val="clear" w:color="000000" w:fill="DAEEF3"/>
            <w:noWrap/>
            <w:vAlign w:val="center"/>
            <w:hideMark/>
          </w:tcPr>
          <w:p w14:paraId="38FCD46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629.17</w:t>
            </w:r>
          </w:p>
        </w:tc>
        <w:tc>
          <w:tcPr>
            <w:tcW w:w="1150" w:type="dxa"/>
            <w:tcBorders>
              <w:top w:val="nil"/>
              <w:left w:val="nil"/>
              <w:bottom w:val="single" w:sz="8" w:space="0" w:color="FFFFFF"/>
              <w:right w:val="single" w:sz="8" w:space="0" w:color="FFFFFF"/>
            </w:tcBorders>
            <w:shd w:val="clear" w:color="000000" w:fill="DAEEF3"/>
            <w:noWrap/>
            <w:vAlign w:val="center"/>
            <w:hideMark/>
          </w:tcPr>
          <w:p w14:paraId="566C3EF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11B9612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40,896</w:t>
            </w:r>
          </w:p>
        </w:tc>
        <w:tc>
          <w:tcPr>
            <w:tcW w:w="1360" w:type="dxa"/>
            <w:tcBorders>
              <w:top w:val="nil"/>
              <w:left w:val="nil"/>
              <w:bottom w:val="single" w:sz="8" w:space="0" w:color="FFFFFF"/>
              <w:right w:val="single" w:sz="8" w:space="0" w:color="auto"/>
            </w:tcBorders>
            <w:shd w:val="clear" w:color="000000" w:fill="DAEEF3"/>
            <w:noWrap/>
            <w:vAlign w:val="center"/>
            <w:hideMark/>
          </w:tcPr>
          <w:p w14:paraId="0FCFF413"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6C8F5A5"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3EAB6B9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FP_003812</w:t>
            </w:r>
          </w:p>
        </w:tc>
        <w:tc>
          <w:tcPr>
            <w:tcW w:w="2860" w:type="dxa"/>
            <w:tcBorders>
              <w:top w:val="nil"/>
              <w:left w:val="nil"/>
              <w:bottom w:val="single" w:sz="8" w:space="0" w:color="FFFFFF"/>
              <w:right w:val="single" w:sz="8" w:space="0" w:color="FFFFFF"/>
            </w:tcBorders>
            <w:shd w:val="clear" w:color="000000" w:fill="B7DEE8"/>
            <w:noWrap/>
            <w:vAlign w:val="center"/>
            <w:hideMark/>
          </w:tcPr>
          <w:p w14:paraId="514C3F93"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ELDERBERRY DRIVE</w:t>
            </w:r>
          </w:p>
        </w:tc>
        <w:tc>
          <w:tcPr>
            <w:tcW w:w="1051" w:type="dxa"/>
            <w:tcBorders>
              <w:top w:val="nil"/>
              <w:left w:val="nil"/>
              <w:bottom w:val="single" w:sz="8" w:space="0" w:color="FFFFFF"/>
              <w:right w:val="single" w:sz="8" w:space="0" w:color="FFFFFF"/>
            </w:tcBorders>
            <w:shd w:val="clear" w:color="000000" w:fill="B7DEE8"/>
            <w:noWrap/>
            <w:vAlign w:val="center"/>
            <w:hideMark/>
          </w:tcPr>
          <w:p w14:paraId="752FC69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455.2</w:t>
            </w:r>
          </w:p>
        </w:tc>
        <w:tc>
          <w:tcPr>
            <w:tcW w:w="1150" w:type="dxa"/>
            <w:tcBorders>
              <w:top w:val="nil"/>
              <w:left w:val="nil"/>
              <w:bottom w:val="single" w:sz="8" w:space="0" w:color="FFFFFF"/>
              <w:right w:val="single" w:sz="8" w:space="0" w:color="FFFFFF"/>
            </w:tcBorders>
            <w:shd w:val="clear" w:color="000000" w:fill="B7DEE8"/>
            <w:noWrap/>
            <w:vAlign w:val="center"/>
            <w:hideMark/>
          </w:tcPr>
          <w:p w14:paraId="44E16C3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17003A3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29,588</w:t>
            </w:r>
          </w:p>
        </w:tc>
        <w:tc>
          <w:tcPr>
            <w:tcW w:w="1360" w:type="dxa"/>
            <w:tcBorders>
              <w:top w:val="nil"/>
              <w:left w:val="nil"/>
              <w:bottom w:val="single" w:sz="8" w:space="0" w:color="FFFFFF"/>
              <w:right w:val="single" w:sz="8" w:space="0" w:color="auto"/>
            </w:tcBorders>
            <w:shd w:val="clear" w:color="000000" w:fill="B7DEE8"/>
            <w:noWrap/>
            <w:vAlign w:val="center"/>
            <w:hideMark/>
          </w:tcPr>
          <w:p w14:paraId="7EC716F7"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03900FC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568494C8"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FP_004218</w:t>
            </w:r>
          </w:p>
        </w:tc>
        <w:tc>
          <w:tcPr>
            <w:tcW w:w="2860" w:type="dxa"/>
            <w:tcBorders>
              <w:top w:val="nil"/>
              <w:left w:val="nil"/>
              <w:bottom w:val="single" w:sz="8" w:space="0" w:color="FFFFFF"/>
              <w:right w:val="single" w:sz="8" w:space="0" w:color="FFFFFF"/>
            </w:tcBorders>
            <w:shd w:val="clear" w:color="000000" w:fill="DAEEF3"/>
            <w:noWrap/>
            <w:vAlign w:val="center"/>
            <w:hideMark/>
          </w:tcPr>
          <w:p w14:paraId="374C8E54"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WATTLEUP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0EFD05E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168.9</w:t>
            </w:r>
          </w:p>
        </w:tc>
        <w:tc>
          <w:tcPr>
            <w:tcW w:w="1150" w:type="dxa"/>
            <w:tcBorders>
              <w:top w:val="nil"/>
              <w:left w:val="nil"/>
              <w:bottom w:val="single" w:sz="8" w:space="0" w:color="FFFFFF"/>
              <w:right w:val="single" w:sz="8" w:space="0" w:color="FFFFFF"/>
            </w:tcBorders>
            <w:shd w:val="clear" w:color="000000" w:fill="DAEEF3"/>
            <w:noWrap/>
            <w:vAlign w:val="center"/>
            <w:hideMark/>
          </w:tcPr>
          <w:p w14:paraId="1BD8638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576E3DFA"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10,979</w:t>
            </w:r>
          </w:p>
        </w:tc>
        <w:tc>
          <w:tcPr>
            <w:tcW w:w="1360" w:type="dxa"/>
            <w:tcBorders>
              <w:top w:val="nil"/>
              <w:left w:val="nil"/>
              <w:bottom w:val="single" w:sz="8" w:space="0" w:color="FFFFFF"/>
              <w:right w:val="single" w:sz="8" w:space="0" w:color="auto"/>
            </w:tcBorders>
            <w:shd w:val="clear" w:color="000000" w:fill="DAEEF3"/>
            <w:noWrap/>
            <w:vAlign w:val="center"/>
            <w:hideMark/>
          </w:tcPr>
          <w:p w14:paraId="3B4C9229"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134731A"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48BA19D0"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FP_004217</w:t>
            </w:r>
          </w:p>
        </w:tc>
        <w:tc>
          <w:tcPr>
            <w:tcW w:w="2860" w:type="dxa"/>
            <w:tcBorders>
              <w:top w:val="nil"/>
              <w:left w:val="nil"/>
              <w:bottom w:val="single" w:sz="8" w:space="0" w:color="FFFFFF"/>
              <w:right w:val="single" w:sz="8" w:space="0" w:color="FFFFFF"/>
            </w:tcBorders>
            <w:shd w:val="clear" w:color="000000" w:fill="B7DEE8"/>
            <w:noWrap/>
            <w:vAlign w:val="center"/>
            <w:hideMark/>
          </w:tcPr>
          <w:p w14:paraId="267D1635"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WATTLEUP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27C9BA5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215.58</w:t>
            </w:r>
          </w:p>
        </w:tc>
        <w:tc>
          <w:tcPr>
            <w:tcW w:w="1150" w:type="dxa"/>
            <w:tcBorders>
              <w:top w:val="nil"/>
              <w:left w:val="nil"/>
              <w:bottom w:val="single" w:sz="8" w:space="0" w:color="FFFFFF"/>
              <w:right w:val="single" w:sz="8" w:space="0" w:color="FFFFFF"/>
            </w:tcBorders>
            <w:shd w:val="clear" w:color="000000" w:fill="B7DEE8"/>
            <w:noWrap/>
            <w:vAlign w:val="center"/>
            <w:hideMark/>
          </w:tcPr>
          <w:p w14:paraId="00FE28D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3172AC4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14,013</w:t>
            </w:r>
          </w:p>
        </w:tc>
        <w:tc>
          <w:tcPr>
            <w:tcW w:w="1360" w:type="dxa"/>
            <w:tcBorders>
              <w:top w:val="nil"/>
              <w:left w:val="nil"/>
              <w:bottom w:val="single" w:sz="8" w:space="0" w:color="FFFFFF"/>
              <w:right w:val="single" w:sz="8" w:space="0" w:color="auto"/>
            </w:tcBorders>
            <w:shd w:val="clear" w:color="000000" w:fill="B7DEE8"/>
            <w:noWrap/>
            <w:vAlign w:val="center"/>
            <w:hideMark/>
          </w:tcPr>
          <w:p w14:paraId="17473121"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E65F3B3"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74307FC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FP_002172</w:t>
            </w:r>
          </w:p>
        </w:tc>
        <w:tc>
          <w:tcPr>
            <w:tcW w:w="2860" w:type="dxa"/>
            <w:tcBorders>
              <w:top w:val="nil"/>
              <w:left w:val="nil"/>
              <w:bottom w:val="single" w:sz="8" w:space="0" w:color="FFFFFF"/>
              <w:right w:val="single" w:sz="8" w:space="0" w:color="FFFFFF"/>
            </w:tcBorders>
            <w:shd w:val="clear" w:color="000000" w:fill="DAEEF3"/>
            <w:noWrap/>
            <w:vAlign w:val="center"/>
            <w:hideMark/>
          </w:tcPr>
          <w:p w14:paraId="03A3CB62"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WATTLEUP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3DBE19B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131.77</w:t>
            </w:r>
          </w:p>
        </w:tc>
        <w:tc>
          <w:tcPr>
            <w:tcW w:w="1150" w:type="dxa"/>
            <w:tcBorders>
              <w:top w:val="nil"/>
              <w:left w:val="nil"/>
              <w:bottom w:val="single" w:sz="8" w:space="0" w:color="FFFFFF"/>
              <w:right w:val="single" w:sz="8" w:space="0" w:color="FFFFFF"/>
            </w:tcBorders>
            <w:shd w:val="clear" w:color="000000" w:fill="DAEEF3"/>
            <w:noWrap/>
            <w:vAlign w:val="center"/>
            <w:hideMark/>
          </w:tcPr>
          <w:p w14:paraId="40EC396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4163BED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8,565</w:t>
            </w:r>
          </w:p>
        </w:tc>
        <w:tc>
          <w:tcPr>
            <w:tcW w:w="1360" w:type="dxa"/>
            <w:tcBorders>
              <w:top w:val="nil"/>
              <w:left w:val="nil"/>
              <w:bottom w:val="single" w:sz="8" w:space="0" w:color="FFFFFF"/>
              <w:right w:val="single" w:sz="8" w:space="0" w:color="auto"/>
            </w:tcBorders>
            <w:shd w:val="clear" w:color="000000" w:fill="DAEEF3"/>
            <w:noWrap/>
            <w:vAlign w:val="center"/>
            <w:hideMark/>
          </w:tcPr>
          <w:p w14:paraId="2A9C6F48"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1D9AD29A"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3842EC00"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FP_004216</w:t>
            </w:r>
          </w:p>
        </w:tc>
        <w:tc>
          <w:tcPr>
            <w:tcW w:w="2860" w:type="dxa"/>
            <w:tcBorders>
              <w:top w:val="nil"/>
              <w:left w:val="nil"/>
              <w:bottom w:val="single" w:sz="8" w:space="0" w:color="FFFFFF"/>
              <w:right w:val="single" w:sz="8" w:space="0" w:color="FFFFFF"/>
            </w:tcBorders>
            <w:shd w:val="clear" w:color="000000" w:fill="B7DEE8"/>
            <w:noWrap/>
            <w:vAlign w:val="center"/>
            <w:hideMark/>
          </w:tcPr>
          <w:p w14:paraId="7A648AE5"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WATTLEUP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7E317DA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69.8</w:t>
            </w:r>
          </w:p>
        </w:tc>
        <w:tc>
          <w:tcPr>
            <w:tcW w:w="1150" w:type="dxa"/>
            <w:tcBorders>
              <w:top w:val="nil"/>
              <w:left w:val="nil"/>
              <w:bottom w:val="single" w:sz="8" w:space="0" w:color="FFFFFF"/>
              <w:right w:val="single" w:sz="8" w:space="0" w:color="FFFFFF"/>
            </w:tcBorders>
            <w:shd w:val="clear" w:color="000000" w:fill="B7DEE8"/>
            <w:noWrap/>
            <w:vAlign w:val="center"/>
            <w:hideMark/>
          </w:tcPr>
          <w:p w14:paraId="4BAE89A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01E3634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4,537</w:t>
            </w:r>
          </w:p>
        </w:tc>
        <w:tc>
          <w:tcPr>
            <w:tcW w:w="1360" w:type="dxa"/>
            <w:tcBorders>
              <w:top w:val="nil"/>
              <w:left w:val="nil"/>
              <w:bottom w:val="single" w:sz="8" w:space="0" w:color="FFFFFF"/>
              <w:right w:val="single" w:sz="8" w:space="0" w:color="auto"/>
            </w:tcBorders>
            <w:shd w:val="clear" w:color="000000" w:fill="B7DEE8"/>
            <w:noWrap/>
            <w:vAlign w:val="center"/>
            <w:hideMark/>
          </w:tcPr>
          <w:p w14:paraId="0B64303A"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06C6B63B"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578E2AE3"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FP_000723</w:t>
            </w:r>
          </w:p>
        </w:tc>
        <w:tc>
          <w:tcPr>
            <w:tcW w:w="2860" w:type="dxa"/>
            <w:tcBorders>
              <w:top w:val="nil"/>
              <w:left w:val="nil"/>
              <w:bottom w:val="single" w:sz="8" w:space="0" w:color="FFFFFF"/>
              <w:right w:val="single" w:sz="8" w:space="0" w:color="FFFFFF"/>
            </w:tcBorders>
            <w:shd w:val="clear" w:color="000000" w:fill="DAEEF3"/>
            <w:noWrap/>
            <w:vAlign w:val="center"/>
            <w:hideMark/>
          </w:tcPr>
          <w:p w14:paraId="041025F7"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WATTLEUP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7A8D284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237.26</w:t>
            </w:r>
          </w:p>
        </w:tc>
        <w:tc>
          <w:tcPr>
            <w:tcW w:w="1150" w:type="dxa"/>
            <w:tcBorders>
              <w:top w:val="nil"/>
              <w:left w:val="nil"/>
              <w:bottom w:val="single" w:sz="8" w:space="0" w:color="FFFFFF"/>
              <w:right w:val="single" w:sz="8" w:space="0" w:color="FFFFFF"/>
            </w:tcBorders>
            <w:shd w:val="clear" w:color="000000" w:fill="DAEEF3"/>
            <w:noWrap/>
            <w:vAlign w:val="center"/>
            <w:hideMark/>
          </w:tcPr>
          <w:p w14:paraId="144F2AC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3C29A97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15,422</w:t>
            </w:r>
          </w:p>
        </w:tc>
        <w:tc>
          <w:tcPr>
            <w:tcW w:w="1360" w:type="dxa"/>
            <w:tcBorders>
              <w:top w:val="nil"/>
              <w:left w:val="nil"/>
              <w:bottom w:val="single" w:sz="8" w:space="0" w:color="FFFFFF"/>
              <w:right w:val="single" w:sz="8" w:space="0" w:color="auto"/>
            </w:tcBorders>
            <w:shd w:val="clear" w:color="000000" w:fill="DAEEF3"/>
            <w:noWrap/>
            <w:vAlign w:val="center"/>
            <w:hideMark/>
          </w:tcPr>
          <w:p w14:paraId="25569CB6"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7786404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1049AD2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FP_003413</w:t>
            </w:r>
          </w:p>
        </w:tc>
        <w:tc>
          <w:tcPr>
            <w:tcW w:w="2860" w:type="dxa"/>
            <w:tcBorders>
              <w:top w:val="nil"/>
              <w:left w:val="nil"/>
              <w:bottom w:val="single" w:sz="8" w:space="0" w:color="FFFFFF"/>
              <w:right w:val="single" w:sz="8" w:space="0" w:color="FFFFFF"/>
            </w:tcBorders>
            <w:shd w:val="clear" w:color="000000" w:fill="B7DEE8"/>
            <w:noWrap/>
            <w:vAlign w:val="center"/>
            <w:hideMark/>
          </w:tcPr>
          <w:p w14:paraId="75859CF1"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COLLOVA WAY</w:t>
            </w:r>
          </w:p>
        </w:tc>
        <w:tc>
          <w:tcPr>
            <w:tcW w:w="1051" w:type="dxa"/>
            <w:tcBorders>
              <w:top w:val="nil"/>
              <w:left w:val="nil"/>
              <w:bottom w:val="single" w:sz="8" w:space="0" w:color="FFFFFF"/>
              <w:right w:val="single" w:sz="8" w:space="0" w:color="FFFFFF"/>
            </w:tcBorders>
            <w:shd w:val="clear" w:color="000000" w:fill="B7DEE8"/>
            <w:noWrap/>
            <w:vAlign w:val="center"/>
            <w:hideMark/>
          </w:tcPr>
          <w:p w14:paraId="21E2C49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253.27</w:t>
            </w:r>
          </w:p>
        </w:tc>
        <w:tc>
          <w:tcPr>
            <w:tcW w:w="1150" w:type="dxa"/>
            <w:tcBorders>
              <w:top w:val="nil"/>
              <w:left w:val="nil"/>
              <w:bottom w:val="single" w:sz="8" w:space="0" w:color="FFFFFF"/>
              <w:right w:val="single" w:sz="8" w:space="0" w:color="FFFFFF"/>
            </w:tcBorders>
            <w:shd w:val="clear" w:color="000000" w:fill="B7DEE8"/>
            <w:noWrap/>
            <w:vAlign w:val="center"/>
            <w:hideMark/>
          </w:tcPr>
          <w:p w14:paraId="139C6BD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72E2A7B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16,463</w:t>
            </w:r>
          </w:p>
        </w:tc>
        <w:tc>
          <w:tcPr>
            <w:tcW w:w="1360" w:type="dxa"/>
            <w:tcBorders>
              <w:top w:val="nil"/>
              <w:left w:val="nil"/>
              <w:bottom w:val="single" w:sz="8" w:space="0" w:color="FFFFFF"/>
              <w:right w:val="single" w:sz="8" w:space="0" w:color="auto"/>
            </w:tcBorders>
            <w:shd w:val="clear" w:color="000000" w:fill="B7DEE8"/>
            <w:noWrap/>
            <w:vAlign w:val="center"/>
            <w:hideMark/>
          </w:tcPr>
          <w:p w14:paraId="7C482A28"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17AB4DB9"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745CFED1"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lastRenderedPageBreak/>
              <w:t>FP_003414</w:t>
            </w:r>
          </w:p>
        </w:tc>
        <w:tc>
          <w:tcPr>
            <w:tcW w:w="2860" w:type="dxa"/>
            <w:tcBorders>
              <w:top w:val="nil"/>
              <w:left w:val="nil"/>
              <w:bottom w:val="single" w:sz="8" w:space="0" w:color="FFFFFF"/>
              <w:right w:val="single" w:sz="8" w:space="0" w:color="FFFFFF"/>
            </w:tcBorders>
            <w:shd w:val="clear" w:color="000000" w:fill="DAEEF3"/>
            <w:noWrap/>
            <w:vAlign w:val="center"/>
            <w:hideMark/>
          </w:tcPr>
          <w:p w14:paraId="2EA89116"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COLLOVA WAY</w:t>
            </w:r>
          </w:p>
        </w:tc>
        <w:tc>
          <w:tcPr>
            <w:tcW w:w="1051" w:type="dxa"/>
            <w:tcBorders>
              <w:top w:val="nil"/>
              <w:left w:val="nil"/>
              <w:bottom w:val="single" w:sz="8" w:space="0" w:color="FFFFFF"/>
              <w:right w:val="single" w:sz="8" w:space="0" w:color="FFFFFF"/>
            </w:tcBorders>
            <w:shd w:val="clear" w:color="000000" w:fill="DAEEF3"/>
            <w:noWrap/>
            <w:vAlign w:val="center"/>
            <w:hideMark/>
          </w:tcPr>
          <w:p w14:paraId="13D2C7E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131.32</w:t>
            </w:r>
          </w:p>
        </w:tc>
        <w:tc>
          <w:tcPr>
            <w:tcW w:w="1150" w:type="dxa"/>
            <w:tcBorders>
              <w:top w:val="nil"/>
              <w:left w:val="nil"/>
              <w:bottom w:val="single" w:sz="8" w:space="0" w:color="FFFFFF"/>
              <w:right w:val="single" w:sz="8" w:space="0" w:color="FFFFFF"/>
            </w:tcBorders>
            <w:shd w:val="clear" w:color="000000" w:fill="DAEEF3"/>
            <w:noWrap/>
            <w:vAlign w:val="center"/>
            <w:hideMark/>
          </w:tcPr>
          <w:p w14:paraId="184B59E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1DC5F31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8,536</w:t>
            </w:r>
          </w:p>
        </w:tc>
        <w:tc>
          <w:tcPr>
            <w:tcW w:w="1360" w:type="dxa"/>
            <w:tcBorders>
              <w:top w:val="nil"/>
              <w:left w:val="nil"/>
              <w:bottom w:val="single" w:sz="8" w:space="0" w:color="FFFFFF"/>
              <w:right w:val="single" w:sz="8" w:space="0" w:color="auto"/>
            </w:tcBorders>
            <w:shd w:val="clear" w:color="000000" w:fill="DAEEF3"/>
            <w:noWrap/>
            <w:vAlign w:val="center"/>
            <w:hideMark/>
          </w:tcPr>
          <w:p w14:paraId="4E0B0428"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5BC74AF6"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21D167DC"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FP_003416</w:t>
            </w:r>
          </w:p>
        </w:tc>
        <w:tc>
          <w:tcPr>
            <w:tcW w:w="2860" w:type="dxa"/>
            <w:tcBorders>
              <w:top w:val="nil"/>
              <w:left w:val="nil"/>
              <w:bottom w:val="single" w:sz="8" w:space="0" w:color="FFFFFF"/>
              <w:right w:val="single" w:sz="8" w:space="0" w:color="FFFFFF"/>
            </w:tcBorders>
            <w:shd w:val="clear" w:color="000000" w:fill="B7DEE8"/>
            <w:noWrap/>
            <w:vAlign w:val="center"/>
            <w:hideMark/>
          </w:tcPr>
          <w:p w14:paraId="798A187E"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COLLOVA WAY</w:t>
            </w:r>
          </w:p>
        </w:tc>
        <w:tc>
          <w:tcPr>
            <w:tcW w:w="1051" w:type="dxa"/>
            <w:tcBorders>
              <w:top w:val="nil"/>
              <w:left w:val="nil"/>
              <w:bottom w:val="single" w:sz="8" w:space="0" w:color="FFFFFF"/>
              <w:right w:val="single" w:sz="8" w:space="0" w:color="FFFFFF"/>
            </w:tcBorders>
            <w:shd w:val="clear" w:color="000000" w:fill="B7DEE8"/>
            <w:noWrap/>
            <w:vAlign w:val="center"/>
            <w:hideMark/>
          </w:tcPr>
          <w:p w14:paraId="41DA951B"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266.82</w:t>
            </w:r>
          </w:p>
        </w:tc>
        <w:tc>
          <w:tcPr>
            <w:tcW w:w="1150" w:type="dxa"/>
            <w:tcBorders>
              <w:top w:val="nil"/>
              <w:left w:val="nil"/>
              <w:bottom w:val="single" w:sz="8" w:space="0" w:color="FFFFFF"/>
              <w:right w:val="single" w:sz="8" w:space="0" w:color="FFFFFF"/>
            </w:tcBorders>
            <w:shd w:val="clear" w:color="000000" w:fill="B7DEE8"/>
            <w:noWrap/>
            <w:vAlign w:val="center"/>
            <w:hideMark/>
          </w:tcPr>
          <w:p w14:paraId="7997060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31CFE10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17,343</w:t>
            </w:r>
          </w:p>
        </w:tc>
        <w:tc>
          <w:tcPr>
            <w:tcW w:w="1360" w:type="dxa"/>
            <w:tcBorders>
              <w:top w:val="nil"/>
              <w:left w:val="nil"/>
              <w:bottom w:val="single" w:sz="8" w:space="0" w:color="FFFFFF"/>
              <w:right w:val="single" w:sz="8" w:space="0" w:color="auto"/>
            </w:tcBorders>
            <w:shd w:val="clear" w:color="000000" w:fill="B7DEE8"/>
            <w:noWrap/>
            <w:vAlign w:val="center"/>
            <w:hideMark/>
          </w:tcPr>
          <w:p w14:paraId="0EF8043D"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2A939A7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07939F0E"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FP_003417</w:t>
            </w:r>
          </w:p>
        </w:tc>
        <w:tc>
          <w:tcPr>
            <w:tcW w:w="2860" w:type="dxa"/>
            <w:tcBorders>
              <w:top w:val="nil"/>
              <w:left w:val="nil"/>
              <w:bottom w:val="single" w:sz="8" w:space="0" w:color="FFFFFF"/>
              <w:right w:val="single" w:sz="8" w:space="0" w:color="FFFFFF"/>
            </w:tcBorders>
            <w:shd w:val="clear" w:color="000000" w:fill="DAEEF3"/>
            <w:noWrap/>
            <w:vAlign w:val="center"/>
            <w:hideMark/>
          </w:tcPr>
          <w:p w14:paraId="45498DD7"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WENLOCK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31D33BF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146.6</w:t>
            </w:r>
          </w:p>
        </w:tc>
        <w:tc>
          <w:tcPr>
            <w:tcW w:w="1150" w:type="dxa"/>
            <w:tcBorders>
              <w:top w:val="nil"/>
              <w:left w:val="nil"/>
              <w:bottom w:val="single" w:sz="8" w:space="0" w:color="FFFFFF"/>
              <w:right w:val="single" w:sz="8" w:space="0" w:color="FFFFFF"/>
            </w:tcBorders>
            <w:shd w:val="clear" w:color="000000" w:fill="DAEEF3"/>
            <w:noWrap/>
            <w:vAlign w:val="center"/>
            <w:hideMark/>
          </w:tcPr>
          <w:p w14:paraId="0FB0117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709A54B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9,529</w:t>
            </w:r>
          </w:p>
        </w:tc>
        <w:tc>
          <w:tcPr>
            <w:tcW w:w="1360" w:type="dxa"/>
            <w:tcBorders>
              <w:top w:val="nil"/>
              <w:left w:val="nil"/>
              <w:bottom w:val="single" w:sz="8" w:space="0" w:color="FFFFFF"/>
              <w:right w:val="single" w:sz="8" w:space="0" w:color="auto"/>
            </w:tcBorders>
            <w:shd w:val="clear" w:color="000000" w:fill="DAEEF3"/>
            <w:noWrap/>
            <w:vAlign w:val="center"/>
            <w:hideMark/>
          </w:tcPr>
          <w:p w14:paraId="6BB219C5"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06665C4"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7B99C9D4"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FP_003418</w:t>
            </w:r>
          </w:p>
        </w:tc>
        <w:tc>
          <w:tcPr>
            <w:tcW w:w="2860" w:type="dxa"/>
            <w:tcBorders>
              <w:top w:val="nil"/>
              <w:left w:val="nil"/>
              <w:bottom w:val="single" w:sz="8" w:space="0" w:color="FFFFFF"/>
              <w:right w:val="single" w:sz="8" w:space="0" w:color="FFFFFF"/>
            </w:tcBorders>
            <w:shd w:val="clear" w:color="000000" w:fill="B7DEE8"/>
            <w:noWrap/>
            <w:vAlign w:val="center"/>
            <w:hideMark/>
          </w:tcPr>
          <w:p w14:paraId="55E0BAD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WENLOCK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296D52A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139</w:t>
            </w:r>
          </w:p>
        </w:tc>
        <w:tc>
          <w:tcPr>
            <w:tcW w:w="1150" w:type="dxa"/>
            <w:tcBorders>
              <w:top w:val="nil"/>
              <w:left w:val="nil"/>
              <w:bottom w:val="single" w:sz="8" w:space="0" w:color="FFFFFF"/>
              <w:right w:val="single" w:sz="8" w:space="0" w:color="FFFFFF"/>
            </w:tcBorders>
            <w:shd w:val="clear" w:color="000000" w:fill="B7DEE8"/>
            <w:noWrap/>
            <w:vAlign w:val="center"/>
            <w:hideMark/>
          </w:tcPr>
          <w:p w14:paraId="62099EF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262588E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9,031</w:t>
            </w:r>
          </w:p>
        </w:tc>
        <w:tc>
          <w:tcPr>
            <w:tcW w:w="1360" w:type="dxa"/>
            <w:tcBorders>
              <w:top w:val="nil"/>
              <w:left w:val="nil"/>
              <w:bottom w:val="single" w:sz="8" w:space="0" w:color="FFFFFF"/>
              <w:right w:val="single" w:sz="8" w:space="0" w:color="auto"/>
            </w:tcBorders>
            <w:shd w:val="clear" w:color="000000" w:fill="B7DEE8"/>
            <w:noWrap/>
            <w:vAlign w:val="center"/>
            <w:hideMark/>
          </w:tcPr>
          <w:p w14:paraId="0902182F"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1EB61B46"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635AEDDD"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FP_003419</w:t>
            </w:r>
          </w:p>
        </w:tc>
        <w:tc>
          <w:tcPr>
            <w:tcW w:w="2860" w:type="dxa"/>
            <w:tcBorders>
              <w:top w:val="nil"/>
              <w:left w:val="nil"/>
              <w:bottom w:val="single" w:sz="8" w:space="0" w:color="FFFFFF"/>
              <w:right w:val="single" w:sz="8" w:space="0" w:color="FFFFFF"/>
            </w:tcBorders>
            <w:shd w:val="clear" w:color="000000" w:fill="DAEEF3"/>
            <w:noWrap/>
            <w:vAlign w:val="center"/>
            <w:hideMark/>
          </w:tcPr>
          <w:p w14:paraId="32641313"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WENLOCK ROAD</w:t>
            </w:r>
          </w:p>
        </w:tc>
        <w:tc>
          <w:tcPr>
            <w:tcW w:w="1051" w:type="dxa"/>
            <w:tcBorders>
              <w:top w:val="nil"/>
              <w:left w:val="nil"/>
              <w:bottom w:val="single" w:sz="8" w:space="0" w:color="FFFFFF"/>
              <w:right w:val="single" w:sz="8" w:space="0" w:color="FFFFFF"/>
            </w:tcBorders>
            <w:shd w:val="clear" w:color="000000" w:fill="DAEEF3"/>
            <w:noWrap/>
            <w:vAlign w:val="center"/>
            <w:hideMark/>
          </w:tcPr>
          <w:p w14:paraId="443C86E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152.39</w:t>
            </w:r>
          </w:p>
        </w:tc>
        <w:tc>
          <w:tcPr>
            <w:tcW w:w="1150" w:type="dxa"/>
            <w:tcBorders>
              <w:top w:val="nil"/>
              <w:left w:val="nil"/>
              <w:bottom w:val="single" w:sz="8" w:space="0" w:color="FFFFFF"/>
              <w:right w:val="single" w:sz="8" w:space="0" w:color="FFFFFF"/>
            </w:tcBorders>
            <w:shd w:val="clear" w:color="000000" w:fill="DAEEF3"/>
            <w:noWrap/>
            <w:vAlign w:val="center"/>
            <w:hideMark/>
          </w:tcPr>
          <w:p w14:paraId="6111602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72A2B67F"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9,905</w:t>
            </w:r>
          </w:p>
        </w:tc>
        <w:tc>
          <w:tcPr>
            <w:tcW w:w="1360" w:type="dxa"/>
            <w:tcBorders>
              <w:top w:val="nil"/>
              <w:left w:val="nil"/>
              <w:bottom w:val="single" w:sz="8" w:space="0" w:color="FFFFFF"/>
              <w:right w:val="single" w:sz="8" w:space="0" w:color="auto"/>
            </w:tcBorders>
            <w:shd w:val="clear" w:color="000000" w:fill="DAEEF3"/>
            <w:noWrap/>
            <w:vAlign w:val="center"/>
            <w:hideMark/>
          </w:tcPr>
          <w:p w14:paraId="6740096A"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69F87819"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4B411842"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FP_003420</w:t>
            </w:r>
          </w:p>
        </w:tc>
        <w:tc>
          <w:tcPr>
            <w:tcW w:w="2860" w:type="dxa"/>
            <w:tcBorders>
              <w:top w:val="nil"/>
              <w:left w:val="nil"/>
              <w:bottom w:val="single" w:sz="8" w:space="0" w:color="FFFFFF"/>
              <w:right w:val="single" w:sz="8" w:space="0" w:color="FFFFFF"/>
            </w:tcBorders>
            <w:shd w:val="clear" w:color="000000" w:fill="B7DEE8"/>
            <w:noWrap/>
            <w:vAlign w:val="center"/>
            <w:hideMark/>
          </w:tcPr>
          <w:p w14:paraId="1B4C6EED"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WENLOCK ROAD</w:t>
            </w:r>
          </w:p>
        </w:tc>
        <w:tc>
          <w:tcPr>
            <w:tcW w:w="1051" w:type="dxa"/>
            <w:tcBorders>
              <w:top w:val="nil"/>
              <w:left w:val="nil"/>
              <w:bottom w:val="single" w:sz="8" w:space="0" w:color="FFFFFF"/>
              <w:right w:val="single" w:sz="8" w:space="0" w:color="FFFFFF"/>
            </w:tcBorders>
            <w:shd w:val="clear" w:color="000000" w:fill="B7DEE8"/>
            <w:noWrap/>
            <w:vAlign w:val="center"/>
            <w:hideMark/>
          </w:tcPr>
          <w:p w14:paraId="5E48307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149.63</w:t>
            </w:r>
          </w:p>
        </w:tc>
        <w:tc>
          <w:tcPr>
            <w:tcW w:w="1150" w:type="dxa"/>
            <w:tcBorders>
              <w:top w:val="nil"/>
              <w:left w:val="nil"/>
              <w:bottom w:val="single" w:sz="8" w:space="0" w:color="FFFFFF"/>
              <w:right w:val="single" w:sz="8" w:space="0" w:color="FFFFFF"/>
            </w:tcBorders>
            <w:shd w:val="clear" w:color="000000" w:fill="B7DEE8"/>
            <w:noWrap/>
            <w:vAlign w:val="center"/>
            <w:hideMark/>
          </w:tcPr>
          <w:p w14:paraId="12794D0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528CFE07"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9725.95</w:t>
            </w:r>
          </w:p>
        </w:tc>
        <w:tc>
          <w:tcPr>
            <w:tcW w:w="1360" w:type="dxa"/>
            <w:tcBorders>
              <w:top w:val="nil"/>
              <w:left w:val="nil"/>
              <w:bottom w:val="single" w:sz="8" w:space="0" w:color="FFFFFF"/>
              <w:right w:val="single" w:sz="8" w:space="0" w:color="auto"/>
            </w:tcBorders>
            <w:shd w:val="clear" w:color="000000" w:fill="B7DEE8"/>
            <w:noWrap/>
            <w:vAlign w:val="center"/>
            <w:hideMark/>
          </w:tcPr>
          <w:p w14:paraId="05FA2F6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606C25D7"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7C244B71"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FP_003421</w:t>
            </w:r>
          </w:p>
        </w:tc>
        <w:tc>
          <w:tcPr>
            <w:tcW w:w="2860" w:type="dxa"/>
            <w:tcBorders>
              <w:top w:val="nil"/>
              <w:left w:val="nil"/>
              <w:bottom w:val="single" w:sz="8" w:space="0" w:color="FFFFFF"/>
              <w:right w:val="single" w:sz="8" w:space="0" w:color="FFFFFF"/>
            </w:tcBorders>
            <w:shd w:val="clear" w:color="000000" w:fill="DAEEF3"/>
            <w:noWrap/>
            <w:vAlign w:val="center"/>
            <w:hideMark/>
          </w:tcPr>
          <w:p w14:paraId="176F31A1"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MARBAN WAY</w:t>
            </w:r>
          </w:p>
        </w:tc>
        <w:tc>
          <w:tcPr>
            <w:tcW w:w="1051" w:type="dxa"/>
            <w:tcBorders>
              <w:top w:val="nil"/>
              <w:left w:val="nil"/>
              <w:bottom w:val="single" w:sz="8" w:space="0" w:color="FFFFFF"/>
              <w:right w:val="single" w:sz="8" w:space="0" w:color="FFFFFF"/>
            </w:tcBorders>
            <w:shd w:val="clear" w:color="000000" w:fill="DAEEF3"/>
            <w:noWrap/>
            <w:vAlign w:val="center"/>
            <w:hideMark/>
          </w:tcPr>
          <w:p w14:paraId="1FCF9F7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439.8</w:t>
            </w:r>
          </w:p>
        </w:tc>
        <w:tc>
          <w:tcPr>
            <w:tcW w:w="1150" w:type="dxa"/>
            <w:tcBorders>
              <w:top w:val="nil"/>
              <w:left w:val="nil"/>
              <w:bottom w:val="single" w:sz="8" w:space="0" w:color="FFFFFF"/>
              <w:right w:val="single" w:sz="8" w:space="0" w:color="FFFFFF"/>
            </w:tcBorders>
            <w:shd w:val="clear" w:color="000000" w:fill="DAEEF3"/>
            <w:noWrap/>
            <w:vAlign w:val="center"/>
            <w:hideMark/>
          </w:tcPr>
          <w:p w14:paraId="7B2577F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677903F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28,587</w:t>
            </w:r>
          </w:p>
        </w:tc>
        <w:tc>
          <w:tcPr>
            <w:tcW w:w="1360" w:type="dxa"/>
            <w:tcBorders>
              <w:top w:val="nil"/>
              <w:left w:val="nil"/>
              <w:bottom w:val="single" w:sz="8" w:space="0" w:color="FFFFFF"/>
              <w:right w:val="single" w:sz="8" w:space="0" w:color="auto"/>
            </w:tcBorders>
            <w:shd w:val="clear" w:color="000000" w:fill="DAEEF3"/>
            <w:noWrap/>
            <w:vAlign w:val="center"/>
            <w:hideMark/>
          </w:tcPr>
          <w:p w14:paraId="289B147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42B8781"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2FF48D70"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FP_004212</w:t>
            </w:r>
          </w:p>
        </w:tc>
        <w:tc>
          <w:tcPr>
            <w:tcW w:w="2860" w:type="dxa"/>
            <w:tcBorders>
              <w:top w:val="nil"/>
              <w:left w:val="nil"/>
              <w:bottom w:val="single" w:sz="8" w:space="0" w:color="FFFFFF"/>
              <w:right w:val="single" w:sz="8" w:space="0" w:color="FFFFFF"/>
            </w:tcBorders>
            <w:shd w:val="clear" w:color="000000" w:fill="B7DEE8"/>
            <w:noWrap/>
            <w:vAlign w:val="center"/>
            <w:hideMark/>
          </w:tcPr>
          <w:p w14:paraId="53E2BD7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MARBAN WAY</w:t>
            </w:r>
          </w:p>
        </w:tc>
        <w:tc>
          <w:tcPr>
            <w:tcW w:w="1051" w:type="dxa"/>
            <w:tcBorders>
              <w:top w:val="nil"/>
              <w:left w:val="nil"/>
              <w:bottom w:val="single" w:sz="8" w:space="0" w:color="FFFFFF"/>
              <w:right w:val="single" w:sz="8" w:space="0" w:color="FFFFFF"/>
            </w:tcBorders>
            <w:shd w:val="clear" w:color="000000" w:fill="B7DEE8"/>
            <w:noWrap/>
            <w:vAlign w:val="center"/>
            <w:hideMark/>
          </w:tcPr>
          <w:p w14:paraId="3C8BEF93"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116.43</w:t>
            </w:r>
          </w:p>
        </w:tc>
        <w:tc>
          <w:tcPr>
            <w:tcW w:w="1150" w:type="dxa"/>
            <w:tcBorders>
              <w:top w:val="nil"/>
              <w:left w:val="nil"/>
              <w:bottom w:val="single" w:sz="8" w:space="0" w:color="FFFFFF"/>
              <w:right w:val="single" w:sz="8" w:space="0" w:color="FFFFFF"/>
            </w:tcBorders>
            <w:shd w:val="clear" w:color="000000" w:fill="B7DEE8"/>
            <w:noWrap/>
            <w:vAlign w:val="center"/>
            <w:hideMark/>
          </w:tcPr>
          <w:p w14:paraId="5F72B6B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4ED85BED"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7,568</w:t>
            </w:r>
          </w:p>
        </w:tc>
        <w:tc>
          <w:tcPr>
            <w:tcW w:w="1360" w:type="dxa"/>
            <w:tcBorders>
              <w:top w:val="nil"/>
              <w:left w:val="nil"/>
              <w:bottom w:val="single" w:sz="8" w:space="0" w:color="FFFFFF"/>
              <w:right w:val="single" w:sz="8" w:space="0" w:color="auto"/>
            </w:tcBorders>
            <w:shd w:val="clear" w:color="000000" w:fill="B7DEE8"/>
            <w:noWrap/>
            <w:vAlign w:val="center"/>
            <w:hideMark/>
          </w:tcPr>
          <w:p w14:paraId="5D4B7DF2"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48348B78"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04FA2A7F"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FP_003422</w:t>
            </w:r>
          </w:p>
        </w:tc>
        <w:tc>
          <w:tcPr>
            <w:tcW w:w="2860" w:type="dxa"/>
            <w:tcBorders>
              <w:top w:val="nil"/>
              <w:left w:val="nil"/>
              <w:bottom w:val="single" w:sz="8" w:space="0" w:color="FFFFFF"/>
              <w:right w:val="single" w:sz="8" w:space="0" w:color="FFFFFF"/>
            </w:tcBorders>
            <w:shd w:val="clear" w:color="000000" w:fill="DAEEF3"/>
            <w:noWrap/>
            <w:vAlign w:val="center"/>
            <w:hideMark/>
          </w:tcPr>
          <w:p w14:paraId="0C3CFA52"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CORIN WAY</w:t>
            </w:r>
          </w:p>
        </w:tc>
        <w:tc>
          <w:tcPr>
            <w:tcW w:w="1051" w:type="dxa"/>
            <w:tcBorders>
              <w:top w:val="nil"/>
              <w:left w:val="nil"/>
              <w:bottom w:val="single" w:sz="8" w:space="0" w:color="FFFFFF"/>
              <w:right w:val="single" w:sz="8" w:space="0" w:color="FFFFFF"/>
            </w:tcBorders>
            <w:shd w:val="clear" w:color="000000" w:fill="DAEEF3"/>
            <w:noWrap/>
            <w:vAlign w:val="center"/>
            <w:hideMark/>
          </w:tcPr>
          <w:p w14:paraId="1A5BC76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424.4</w:t>
            </w:r>
          </w:p>
        </w:tc>
        <w:tc>
          <w:tcPr>
            <w:tcW w:w="1150" w:type="dxa"/>
            <w:tcBorders>
              <w:top w:val="nil"/>
              <w:left w:val="nil"/>
              <w:bottom w:val="single" w:sz="8" w:space="0" w:color="FFFFFF"/>
              <w:right w:val="single" w:sz="8" w:space="0" w:color="FFFFFF"/>
            </w:tcBorders>
            <w:shd w:val="clear" w:color="000000" w:fill="DAEEF3"/>
            <w:noWrap/>
            <w:vAlign w:val="center"/>
            <w:hideMark/>
          </w:tcPr>
          <w:p w14:paraId="4DFD62F4"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0CCA0EC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27,586</w:t>
            </w:r>
          </w:p>
        </w:tc>
        <w:tc>
          <w:tcPr>
            <w:tcW w:w="1360" w:type="dxa"/>
            <w:tcBorders>
              <w:top w:val="nil"/>
              <w:left w:val="nil"/>
              <w:bottom w:val="single" w:sz="8" w:space="0" w:color="FFFFFF"/>
              <w:right w:val="single" w:sz="8" w:space="0" w:color="auto"/>
            </w:tcBorders>
            <w:shd w:val="clear" w:color="000000" w:fill="DAEEF3"/>
            <w:noWrap/>
            <w:vAlign w:val="center"/>
            <w:hideMark/>
          </w:tcPr>
          <w:p w14:paraId="3EA482A3"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0094F9DF"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22D755C9"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FP_000877</w:t>
            </w:r>
          </w:p>
        </w:tc>
        <w:tc>
          <w:tcPr>
            <w:tcW w:w="2860" w:type="dxa"/>
            <w:tcBorders>
              <w:top w:val="nil"/>
              <w:left w:val="nil"/>
              <w:bottom w:val="single" w:sz="8" w:space="0" w:color="FFFFFF"/>
              <w:right w:val="single" w:sz="8" w:space="0" w:color="FFFFFF"/>
            </w:tcBorders>
            <w:shd w:val="clear" w:color="000000" w:fill="B7DEE8"/>
            <w:noWrap/>
            <w:vAlign w:val="center"/>
            <w:hideMark/>
          </w:tcPr>
          <w:p w14:paraId="3A02B5AB"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B7DEE8"/>
            <w:noWrap/>
            <w:vAlign w:val="center"/>
            <w:hideMark/>
          </w:tcPr>
          <w:p w14:paraId="15003D10"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97.47</w:t>
            </w:r>
          </w:p>
        </w:tc>
        <w:tc>
          <w:tcPr>
            <w:tcW w:w="1150" w:type="dxa"/>
            <w:tcBorders>
              <w:top w:val="nil"/>
              <w:left w:val="nil"/>
              <w:bottom w:val="single" w:sz="8" w:space="0" w:color="FFFFFF"/>
              <w:right w:val="single" w:sz="8" w:space="0" w:color="FFFFFF"/>
            </w:tcBorders>
            <w:shd w:val="clear" w:color="000000" w:fill="B7DEE8"/>
            <w:noWrap/>
            <w:vAlign w:val="center"/>
            <w:hideMark/>
          </w:tcPr>
          <w:p w14:paraId="45333D6B"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59C80AF6"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1,949</w:t>
            </w:r>
          </w:p>
        </w:tc>
        <w:tc>
          <w:tcPr>
            <w:tcW w:w="1360" w:type="dxa"/>
            <w:tcBorders>
              <w:top w:val="nil"/>
              <w:left w:val="nil"/>
              <w:bottom w:val="single" w:sz="8" w:space="0" w:color="FFFFFF"/>
              <w:right w:val="single" w:sz="8" w:space="0" w:color="auto"/>
            </w:tcBorders>
            <w:shd w:val="clear" w:color="000000" w:fill="B7DEE8"/>
            <w:noWrap/>
            <w:vAlign w:val="center"/>
            <w:hideMark/>
          </w:tcPr>
          <w:p w14:paraId="6A595814"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37DE85FC"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DAEEF3"/>
            <w:noWrap/>
            <w:vAlign w:val="center"/>
            <w:hideMark/>
          </w:tcPr>
          <w:p w14:paraId="6E428420"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FP_002162</w:t>
            </w:r>
          </w:p>
        </w:tc>
        <w:tc>
          <w:tcPr>
            <w:tcW w:w="2860" w:type="dxa"/>
            <w:tcBorders>
              <w:top w:val="nil"/>
              <w:left w:val="nil"/>
              <w:bottom w:val="single" w:sz="8" w:space="0" w:color="FFFFFF"/>
              <w:right w:val="single" w:sz="8" w:space="0" w:color="FFFFFF"/>
            </w:tcBorders>
            <w:shd w:val="clear" w:color="000000" w:fill="DAEEF3"/>
            <w:noWrap/>
            <w:vAlign w:val="center"/>
            <w:hideMark/>
          </w:tcPr>
          <w:p w14:paraId="08D3AE99"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DAEEF3"/>
            <w:noWrap/>
            <w:vAlign w:val="center"/>
            <w:hideMark/>
          </w:tcPr>
          <w:p w14:paraId="3BDDE30C"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235.95</w:t>
            </w:r>
          </w:p>
        </w:tc>
        <w:tc>
          <w:tcPr>
            <w:tcW w:w="1150" w:type="dxa"/>
            <w:tcBorders>
              <w:top w:val="nil"/>
              <w:left w:val="nil"/>
              <w:bottom w:val="single" w:sz="8" w:space="0" w:color="FFFFFF"/>
              <w:right w:val="single" w:sz="8" w:space="0" w:color="FFFFFF"/>
            </w:tcBorders>
            <w:shd w:val="clear" w:color="000000" w:fill="DAEEF3"/>
            <w:noWrap/>
            <w:vAlign w:val="center"/>
            <w:hideMark/>
          </w:tcPr>
          <w:p w14:paraId="4A5C176E"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DAEEF3"/>
            <w:noWrap/>
            <w:vAlign w:val="center"/>
            <w:hideMark/>
          </w:tcPr>
          <w:p w14:paraId="49FBA928"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4,719</w:t>
            </w:r>
          </w:p>
        </w:tc>
        <w:tc>
          <w:tcPr>
            <w:tcW w:w="1360" w:type="dxa"/>
            <w:tcBorders>
              <w:top w:val="nil"/>
              <w:left w:val="nil"/>
              <w:bottom w:val="single" w:sz="8" w:space="0" w:color="FFFFFF"/>
              <w:right w:val="single" w:sz="8" w:space="0" w:color="auto"/>
            </w:tcBorders>
            <w:shd w:val="clear" w:color="000000" w:fill="DAEEF3"/>
            <w:noWrap/>
            <w:vAlign w:val="center"/>
            <w:hideMark/>
          </w:tcPr>
          <w:p w14:paraId="56954756"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5399BFA6" w14:textId="77777777" w:rsidTr="00C25FBD">
        <w:trPr>
          <w:trHeight w:val="315"/>
        </w:trPr>
        <w:tc>
          <w:tcPr>
            <w:tcW w:w="1251" w:type="dxa"/>
            <w:tcBorders>
              <w:top w:val="nil"/>
              <w:left w:val="single" w:sz="8" w:space="0" w:color="auto"/>
              <w:bottom w:val="single" w:sz="8" w:space="0" w:color="FFFFFF"/>
              <w:right w:val="single" w:sz="8" w:space="0" w:color="FFFFFF"/>
            </w:tcBorders>
            <w:shd w:val="clear" w:color="000000" w:fill="B7DEE8"/>
            <w:noWrap/>
            <w:vAlign w:val="center"/>
            <w:hideMark/>
          </w:tcPr>
          <w:p w14:paraId="6EC6E2EB"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FP_000876</w:t>
            </w:r>
          </w:p>
        </w:tc>
        <w:tc>
          <w:tcPr>
            <w:tcW w:w="2860" w:type="dxa"/>
            <w:tcBorders>
              <w:top w:val="nil"/>
              <w:left w:val="nil"/>
              <w:bottom w:val="single" w:sz="8" w:space="0" w:color="FFFFFF"/>
              <w:right w:val="single" w:sz="8" w:space="0" w:color="FFFFFF"/>
            </w:tcBorders>
            <w:shd w:val="clear" w:color="000000" w:fill="B7DEE8"/>
            <w:noWrap/>
            <w:vAlign w:val="center"/>
            <w:hideMark/>
          </w:tcPr>
          <w:p w14:paraId="5EFC516C"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AW</w:t>
            </w:r>
          </w:p>
        </w:tc>
        <w:tc>
          <w:tcPr>
            <w:tcW w:w="1051" w:type="dxa"/>
            <w:tcBorders>
              <w:top w:val="nil"/>
              <w:left w:val="nil"/>
              <w:bottom w:val="single" w:sz="8" w:space="0" w:color="FFFFFF"/>
              <w:right w:val="single" w:sz="8" w:space="0" w:color="FFFFFF"/>
            </w:tcBorders>
            <w:shd w:val="clear" w:color="000000" w:fill="B7DEE8"/>
            <w:noWrap/>
            <w:vAlign w:val="center"/>
            <w:hideMark/>
          </w:tcPr>
          <w:p w14:paraId="10CC8669"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268.19</w:t>
            </w:r>
          </w:p>
        </w:tc>
        <w:tc>
          <w:tcPr>
            <w:tcW w:w="1150" w:type="dxa"/>
            <w:tcBorders>
              <w:top w:val="nil"/>
              <w:left w:val="nil"/>
              <w:bottom w:val="single" w:sz="8" w:space="0" w:color="FFFFFF"/>
              <w:right w:val="single" w:sz="8" w:space="0" w:color="FFFFFF"/>
            </w:tcBorders>
            <w:shd w:val="clear" w:color="000000" w:fill="B7DEE8"/>
            <w:noWrap/>
            <w:vAlign w:val="center"/>
            <w:hideMark/>
          </w:tcPr>
          <w:p w14:paraId="114D2C62"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w:t>
            </w:r>
          </w:p>
        </w:tc>
        <w:tc>
          <w:tcPr>
            <w:tcW w:w="1500" w:type="dxa"/>
            <w:tcBorders>
              <w:top w:val="nil"/>
              <w:left w:val="nil"/>
              <w:bottom w:val="single" w:sz="8" w:space="0" w:color="FFFFFF"/>
              <w:right w:val="single" w:sz="8" w:space="0" w:color="FFFFFF"/>
            </w:tcBorders>
            <w:shd w:val="clear" w:color="000000" w:fill="B7DEE8"/>
            <w:noWrap/>
            <w:vAlign w:val="center"/>
            <w:hideMark/>
          </w:tcPr>
          <w:p w14:paraId="58AC74F5"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5,364</w:t>
            </w:r>
          </w:p>
        </w:tc>
        <w:tc>
          <w:tcPr>
            <w:tcW w:w="1360" w:type="dxa"/>
            <w:tcBorders>
              <w:top w:val="nil"/>
              <w:left w:val="nil"/>
              <w:bottom w:val="single" w:sz="8" w:space="0" w:color="FFFFFF"/>
              <w:right w:val="single" w:sz="8" w:space="0" w:color="auto"/>
            </w:tcBorders>
            <w:shd w:val="clear" w:color="000000" w:fill="B7DEE8"/>
            <w:noWrap/>
            <w:vAlign w:val="center"/>
            <w:hideMark/>
          </w:tcPr>
          <w:p w14:paraId="6B0FAE2C"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2021/22</w:t>
            </w:r>
          </w:p>
        </w:tc>
      </w:tr>
      <w:tr w:rsidR="00A021CC" w:rsidRPr="00A021CC" w14:paraId="0D629C6B" w14:textId="77777777" w:rsidTr="00971D7D">
        <w:trPr>
          <w:trHeight w:val="315"/>
        </w:trPr>
        <w:tc>
          <w:tcPr>
            <w:tcW w:w="1251" w:type="dxa"/>
            <w:tcBorders>
              <w:top w:val="nil"/>
              <w:left w:val="single" w:sz="8" w:space="0" w:color="auto"/>
              <w:bottom w:val="single" w:sz="8" w:space="0" w:color="auto"/>
              <w:right w:val="single" w:sz="8" w:space="0" w:color="FFFFFF"/>
            </w:tcBorders>
            <w:shd w:val="clear" w:color="auto" w:fill="FFFFFF" w:themeFill="background1"/>
            <w:noWrap/>
            <w:vAlign w:val="center"/>
            <w:hideMark/>
          </w:tcPr>
          <w:p w14:paraId="4C5A3246" w14:textId="77777777" w:rsidR="00A021CC" w:rsidRPr="00A021CC" w:rsidRDefault="00A021CC" w:rsidP="00A021CC">
            <w:pPr>
              <w:spacing w:after="0" w:line="240" w:lineRule="auto"/>
              <w:jc w:val="left"/>
              <w:rPr>
                <w:rFonts w:cs="Arial"/>
                <w:b/>
                <w:bCs/>
                <w:color w:val="000000"/>
                <w:sz w:val="20"/>
                <w:lang w:eastAsia="en-AU"/>
              </w:rPr>
            </w:pPr>
            <w:r w:rsidRPr="00A021CC">
              <w:rPr>
                <w:rFonts w:cs="Arial"/>
                <w:b/>
                <w:bCs/>
                <w:color w:val="000000"/>
                <w:sz w:val="20"/>
                <w:lang w:eastAsia="en-AU"/>
              </w:rPr>
              <w:t>Total</w:t>
            </w:r>
          </w:p>
        </w:tc>
        <w:tc>
          <w:tcPr>
            <w:tcW w:w="2860" w:type="dxa"/>
            <w:tcBorders>
              <w:top w:val="nil"/>
              <w:left w:val="nil"/>
              <w:bottom w:val="single" w:sz="8" w:space="0" w:color="auto"/>
              <w:right w:val="single" w:sz="8" w:space="0" w:color="FFFFFF"/>
            </w:tcBorders>
            <w:shd w:val="clear" w:color="auto" w:fill="FFFFFF" w:themeFill="background1"/>
            <w:noWrap/>
            <w:vAlign w:val="center"/>
            <w:hideMark/>
          </w:tcPr>
          <w:p w14:paraId="3B4781A5" w14:textId="77777777" w:rsidR="00A021CC" w:rsidRPr="00A021CC" w:rsidRDefault="00A021CC" w:rsidP="00A021CC">
            <w:pPr>
              <w:spacing w:after="0" w:line="240" w:lineRule="auto"/>
              <w:jc w:val="left"/>
              <w:rPr>
                <w:rFonts w:cs="Arial"/>
                <w:color w:val="000000"/>
                <w:sz w:val="20"/>
                <w:lang w:eastAsia="en-AU"/>
              </w:rPr>
            </w:pPr>
            <w:r w:rsidRPr="00A021CC">
              <w:rPr>
                <w:rFonts w:cs="Arial"/>
                <w:color w:val="000000"/>
                <w:sz w:val="20"/>
                <w:lang w:eastAsia="en-AU"/>
              </w:rPr>
              <w:t> </w:t>
            </w:r>
          </w:p>
        </w:tc>
        <w:tc>
          <w:tcPr>
            <w:tcW w:w="1051" w:type="dxa"/>
            <w:tcBorders>
              <w:top w:val="nil"/>
              <w:left w:val="nil"/>
              <w:bottom w:val="single" w:sz="8" w:space="0" w:color="auto"/>
              <w:right w:val="single" w:sz="8" w:space="0" w:color="FFFFFF"/>
            </w:tcBorders>
            <w:shd w:val="clear" w:color="auto" w:fill="FFFFFF" w:themeFill="background1"/>
            <w:noWrap/>
            <w:vAlign w:val="center"/>
            <w:hideMark/>
          </w:tcPr>
          <w:p w14:paraId="41456518" w14:textId="77777777" w:rsidR="00A021CC" w:rsidRPr="00A021CC" w:rsidRDefault="00A021CC" w:rsidP="00A021CC">
            <w:pPr>
              <w:spacing w:after="0" w:line="240" w:lineRule="auto"/>
              <w:jc w:val="center"/>
              <w:rPr>
                <w:rFonts w:cs="Arial"/>
                <w:b/>
                <w:bCs/>
                <w:color w:val="000000"/>
                <w:sz w:val="20"/>
                <w:lang w:eastAsia="en-AU"/>
              </w:rPr>
            </w:pPr>
            <w:r w:rsidRPr="00A021CC">
              <w:rPr>
                <w:rFonts w:cs="Arial"/>
                <w:b/>
                <w:bCs/>
                <w:color w:val="000000"/>
                <w:sz w:val="20"/>
                <w:lang w:eastAsia="en-AU"/>
              </w:rPr>
              <w:t>10122.52</w:t>
            </w:r>
          </w:p>
        </w:tc>
        <w:tc>
          <w:tcPr>
            <w:tcW w:w="1150" w:type="dxa"/>
            <w:tcBorders>
              <w:top w:val="nil"/>
              <w:left w:val="nil"/>
              <w:bottom w:val="single" w:sz="8" w:space="0" w:color="auto"/>
              <w:right w:val="single" w:sz="8" w:space="0" w:color="FFFFFF"/>
            </w:tcBorders>
            <w:shd w:val="clear" w:color="auto" w:fill="FFFFFF" w:themeFill="background1"/>
            <w:noWrap/>
            <w:vAlign w:val="center"/>
            <w:hideMark/>
          </w:tcPr>
          <w:p w14:paraId="1E440E81" w14:textId="77777777" w:rsidR="00A021CC" w:rsidRPr="00A021CC" w:rsidRDefault="00A021CC" w:rsidP="00A021CC">
            <w:pPr>
              <w:spacing w:after="0" w:line="240" w:lineRule="auto"/>
              <w:jc w:val="center"/>
              <w:rPr>
                <w:rFonts w:cs="Arial"/>
                <w:color w:val="000000"/>
                <w:sz w:val="20"/>
                <w:lang w:eastAsia="en-AU"/>
              </w:rPr>
            </w:pPr>
            <w:r w:rsidRPr="00A021CC">
              <w:rPr>
                <w:rFonts w:cs="Arial"/>
                <w:color w:val="000000"/>
                <w:sz w:val="20"/>
                <w:lang w:eastAsia="en-AU"/>
              </w:rPr>
              <w:t> </w:t>
            </w:r>
          </w:p>
        </w:tc>
        <w:tc>
          <w:tcPr>
            <w:tcW w:w="1500" w:type="dxa"/>
            <w:tcBorders>
              <w:top w:val="nil"/>
              <w:left w:val="nil"/>
              <w:bottom w:val="single" w:sz="8" w:space="0" w:color="auto"/>
              <w:right w:val="single" w:sz="8" w:space="0" w:color="FFFFFF"/>
            </w:tcBorders>
            <w:shd w:val="clear" w:color="auto" w:fill="FFFFFF" w:themeFill="background1"/>
            <w:noWrap/>
            <w:vAlign w:val="center"/>
            <w:hideMark/>
          </w:tcPr>
          <w:p w14:paraId="33ED3AF6" w14:textId="77777777" w:rsidR="00A021CC" w:rsidRPr="00A021CC" w:rsidRDefault="00A021CC" w:rsidP="00092F5C">
            <w:pPr>
              <w:spacing w:after="0" w:line="240" w:lineRule="auto"/>
              <w:jc w:val="center"/>
              <w:rPr>
                <w:rFonts w:cs="Arial"/>
                <w:b/>
                <w:bCs/>
                <w:color w:val="000000"/>
                <w:sz w:val="20"/>
                <w:lang w:eastAsia="en-AU"/>
              </w:rPr>
            </w:pPr>
            <w:r w:rsidRPr="00A021CC">
              <w:rPr>
                <w:rFonts w:cs="Arial"/>
                <w:b/>
                <w:bCs/>
                <w:color w:val="000000"/>
                <w:sz w:val="20"/>
                <w:lang w:eastAsia="en-AU"/>
              </w:rPr>
              <w:t xml:space="preserve"> $     </w:t>
            </w:r>
            <w:r w:rsidR="00092F5C">
              <w:rPr>
                <w:rFonts w:cs="Arial"/>
                <w:b/>
                <w:bCs/>
                <w:color w:val="000000"/>
                <w:sz w:val="20"/>
                <w:lang w:eastAsia="en-AU"/>
              </w:rPr>
              <w:t>602,522</w:t>
            </w:r>
            <w:r w:rsidRPr="00A021CC">
              <w:rPr>
                <w:rFonts w:cs="Arial"/>
                <w:b/>
                <w:bCs/>
                <w:color w:val="000000"/>
                <w:sz w:val="20"/>
                <w:lang w:eastAsia="en-AU"/>
              </w:rPr>
              <w:t xml:space="preserve"> </w:t>
            </w:r>
          </w:p>
        </w:tc>
        <w:tc>
          <w:tcPr>
            <w:tcW w:w="1360" w:type="dxa"/>
            <w:tcBorders>
              <w:top w:val="nil"/>
              <w:left w:val="nil"/>
              <w:bottom w:val="single" w:sz="8" w:space="0" w:color="auto"/>
              <w:right w:val="single" w:sz="8" w:space="0" w:color="auto"/>
            </w:tcBorders>
            <w:shd w:val="clear" w:color="auto" w:fill="FFFFFF" w:themeFill="background1"/>
            <w:noWrap/>
            <w:vAlign w:val="center"/>
            <w:hideMark/>
          </w:tcPr>
          <w:p w14:paraId="2EFBCFE0" w14:textId="77777777" w:rsidR="00A021CC" w:rsidRPr="00A021CC" w:rsidRDefault="00A021CC" w:rsidP="00A021CC">
            <w:pPr>
              <w:spacing w:after="0" w:line="240" w:lineRule="auto"/>
              <w:jc w:val="right"/>
              <w:rPr>
                <w:rFonts w:cs="Arial"/>
                <w:color w:val="000000"/>
                <w:sz w:val="20"/>
                <w:lang w:eastAsia="en-AU"/>
              </w:rPr>
            </w:pPr>
            <w:r w:rsidRPr="00A021CC">
              <w:rPr>
                <w:rFonts w:cs="Arial"/>
                <w:color w:val="000000"/>
                <w:sz w:val="20"/>
                <w:lang w:eastAsia="en-AU"/>
              </w:rPr>
              <w:t> </w:t>
            </w:r>
          </w:p>
        </w:tc>
      </w:tr>
    </w:tbl>
    <w:p w14:paraId="1B1778C2" w14:textId="77777777" w:rsidR="006C1B0D" w:rsidRDefault="006C1B0D" w:rsidP="00CE6D8E">
      <w:pPr>
        <w:spacing w:after="0"/>
        <w:jc w:val="left"/>
        <w:rPr>
          <w:rFonts w:cs="Arial"/>
          <w:szCs w:val="24"/>
        </w:rPr>
      </w:pPr>
    </w:p>
    <w:p w14:paraId="6E8073AE" w14:textId="77777777" w:rsidR="001E195E" w:rsidRDefault="001E195E">
      <w:pPr>
        <w:spacing w:after="0"/>
        <w:jc w:val="left"/>
        <w:rPr>
          <w:rFonts w:cs="Arial"/>
          <w:bCs/>
          <w:iCs/>
          <w:color w:val="0070C0"/>
          <w:szCs w:val="24"/>
        </w:rPr>
      </w:pPr>
      <w:r>
        <w:br w:type="page"/>
      </w:r>
    </w:p>
    <w:p w14:paraId="50E2C5CF" w14:textId="77777777" w:rsidR="00B41A59" w:rsidRDefault="001E195E" w:rsidP="00140CAE">
      <w:pPr>
        <w:pStyle w:val="Heading2"/>
      </w:pPr>
      <w:bookmarkStart w:id="76" w:name="_Toc56419111"/>
      <w:r>
        <w:lastRenderedPageBreak/>
        <w:t>Appendix E</w:t>
      </w:r>
      <w:r>
        <w:tab/>
        <w:t>Standards and Specifications</w:t>
      </w:r>
      <w:bookmarkEnd w:id="76"/>
    </w:p>
    <w:p w14:paraId="26CB69BF" w14:textId="77777777" w:rsidR="005F79FA" w:rsidRPr="00EA6639" w:rsidRDefault="005F79FA" w:rsidP="00375695">
      <w:pPr>
        <w:pStyle w:val="BodyText"/>
        <w:numPr>
          <w:ilvl w:val="0"/>
          <w:numId w:val="7"/>
        </w:numPr>
        <w:tabs>
          <w:tab w:val="left" w:pos="709"/>
        </w:tabs>
        <w:spacing w:before="60" w:after="60"/>
        <w:ind w:right="375"/>
        <w:jc w:val="left"/>
        <w:rPr>
          <w:rFonts w:cs="Arial"/>
          <w:szCs w:val="24"/>
        </w:rPr>
      </w:pPr>
      <w:r w:rsidRPr="00EA6639">
        <w:rPr>
          <w:rFonts w:cs="Arial"/>
          <w:szCs w:val="24"/>
        </w:rPr>
        <w:t xml:space="preserve">City of Cockburn road construction and maintenance service specification </w:t>
      </w:r>
    </w:p>
    <w:p w14:paraId="64A48C2B" w14:textId="77777777" w:rsidR="005F79FA" w:rsidRPr="00EA6639" w:rsidRDefault="005F79FA" w:rsidP="00375695">
      <w:pPr>
        <w:pStyle w:val="BodyText"/>
        <w:numPr>
          <w:ilvl w:val="0"/>
          <w:numId w:val="7"/>
        </w:numPr>
        <w:tabs>
          <w:tab w:val="left" w:pos="709"/>
        </w:tabs>
        <w:spacing w:before="60" w:after="60"/>
        <w:ind w:right="375"/>
        <w:jc w:val="left"/>
        <w:rPr>
          <w:rFonts w:cs="Arial"/>
          <w:szCs w:val="24"/>
        </w:rPr>
      </w:pPr>
      <w:r w:rsidRPr="00EA6639">
        <w:rPr>
          <w:rFonts w:cs="Arial"/>
          <w:szCs w:val="24"/>
        </w:rPr>
        <w:t>City of Cockburn road construction and maintenance service standards</w:t>
      </w:r>
    </w:p>
    <w:p w14:paraId="17A227EA" w14:textId="77777777" w:rsidR="005F79FA" w:rsidRPr="00EA6639" w:rsidRDefault="005F79FA" w:rsidP="00375695">
      <w:pPr>
        <w:pStyle w:val="BodyText"/>
        <w:numPr>
          <w:ilvl w:val="0"/>
          <w:numId w:val="7"/>
        </w:numPr>
        <w:tabs>
          <w:tab w:val="left" w:pos="709"/>
        </w:tabs>
        <w:spacing w:before="60" w:after="60"/>
        <w:ind w:right="375"/>
        <w:jc w:val="left"/>
        <w:rPr>
          <w:rFonts w:cs="Arial"/>
          <w:szCs w:val="24"/>
        </w:rPr>
      </w:pPr>
      <w:r w:rsidRPr="00EA6639">
        <w:rPr>
          <w:rFonts w:cs="Arial"/>
          <w:szCs w:val="24"/>
        </w:rPr>
        <w:t>City of Cockburn road construction and maintenance service unit action plan</w:t>
      </w:r>
    </w:p>
    <w:p w14:paraId="42E1EAC3" w14:textId="77777777" w:rsidR="005F79FA" w:rsidRPr="00EA6639" w:rsidRDefault="005F79FA" w:rsidP="00375695">
      <w:pPr>
        <w:pStyle w:val="BodyText"/>
        <w:numPr>
          <w:ilvl w:val="0"/>
          <w:numId w:val="7"/>
        </w:numPr>
        <w:tabs>
          <w:tab w:val="left" w:pos="709"/>
        </w:tabs>
        <w:spacing w:before="60" w:after="60"/>
        <w:ind w:right="375"/>
        <w:jc w:val="left"/>
        <w:rPr>
          <w:rFonts w:cs="Arial"/>
          <w:szCs w:val="24"/>
        </w:rPr>
      </w:pPr>
      <w:r w:rsidRPr="00EA6639">
        <w:rPr>
          <w:rFonts w:cs="Arial"/>
          <w:szCs w:val="24"/>
        </w:rPr>
        <w:t>Road Services: Standards, procedures and checklists manual</w:t>
      </w:r>
    </w:p>
    <w:p w14:paraId="6FF821DD" w14:textId="77777777" w:rsidR="005F79FA" w:rsidRPr="00EA6639" w:rsidRDefault="005F79FA" w:rsidP="00375695">
      <w:pPr>
        <w:pStyle w:val="BodyText"/>
        <w:numPr>
          <w:ilvl w:val="0"/>
          <w:numId w:val="7"/>
        </w:numPr>
        <w:tabs>
          <w:tab w:val="left" w:pos="709"/>
        </w:tabs>
        <w:spacing w:before="60" w:after="60"/>
        <w:ind w:right="375"/>
        <w:jc w:val="left"/>
        <w:rPr>
          <w:rFonts w:cs="Arial"/>
          <w:szCs w:val="24"/>
        </w:rPr>
      </w:pPr>
      <w:r w:rsidRPr="00EA6639">
        <w:rPr>
          <w:rFonts w:cs="Arial"/>
          <w:szCs w:val="24"/>
        </w:rPr>
        <w:t>Road Services: Best practice manual for road asset management</w:t>
      </w:r>
    </w:p>
    <w:p w14:paraId="1D381220"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Road Services Unit: Code of Practice - Local road asset and risk management system</w:t>
      </w:r>
    </w:p>
    <w:p w14:paraId="0B1C0C67"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Code of Practice: Footpath risk management policy</w:t>
      </w:r>
    </w:p>
    <w:p w14:paraId="4E14766D"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Pavement condition definitions manual</w:t>
      </w:r>
    </w:p>
    <w:p w14:paraId="0210177B" w14:textId="77777777" w:rsidR="005F79FA" w:rsidRPr="00EA6639" w:rsidRDefault="005F79FA" w:rsidP="00375695">
      <w:pPr>
        <w:pStyle w:val="ListParagraph"/>
        <w:numPr>
          <w:ilvl w:val="0"/>
          <w:numId w:val="7"/>
        </w:numPr>
        <w:tabs>
          <w:tab w:val="left" w:pos="709"/>
        </w:tabs>
        <w:spacing w:before="60" w:after="120"/>
        <w:ind w:right="375"/>
        <w:rPr>
          <w:rFonts w:cs="Arial"/>
          <w:szCs w:val="24"/>
        </w:rPr>
      </w:pPr>
      <w:r w:rsidRPr="00EA6639">
        <w:rPr>
          <w:rFonts w:cs="Arial"/>
          <w:szCs w:val="24"/>
        </w:rPr>
        <w:t>Public Utilities Code of Practice 2000</w:t>
      </w:r>
    </w:p>
    <w:p w14:paraId="3E618208" w14:textId="77777777" w:rsidR="005F79FA" w:rsidRPr="00EA6639" w:rsidRDefault="005F79FA" w:rsidP="00375695">
      <w:pPr>
        <w:pStyle w:val="ListParagraph"/>
        <w:numPr>
          <w:ilvl w:val="0"/>
          <w:numId w:val="7"/>
        </w:numPr>
        <w:tabs>
          <w:tab w:val="left" w:pos="709"/>
        </w:tabs>
        <w:spacing w:before="60" w:after="60"/>
        <w:ind w:right="375"/>
        <w:rPr>
          <w:rFonts w:cs="Arial"/>
          <w:szCs w:val="24"/>
        </w:rPr>
      </w:pPr>
      <w:r w:rsidRPr="00EA6639">
        <w:rPr>
          <w:rFonts w:cs="Arial"/>
          <w:szCs w:val="24"/>
        </w:rPr>
        <w:t>Restoration and Reinstatement Specification for Local Government 2002</w:t>
      </w:r>
    </w:p>
    <w:p w14:paraId="3DC6372A"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City of Cockburn - Excavation Reinstatement Standards 2003”</w:t>
      </w:r>
    </w:p>
    <w:p w14:paraId="783F10F5"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AS 1742 – Australian Standard Manual of uniform traffic control devices</w:t>
      </w:r>
    </w:p>
    <w:p w14:paraId="267A8AE1"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AS 1428 – Parts 1 &amp; 2 Access and Mobility and Part 4 – Tactile ground surface indicators</w:t>
      </w:r>
    </w:p>
    <w:p w14:paraId="462EA797"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AS/NZS 1158 – Lighting for roads and public spaces</w:t>
      </w:r>
    </w:p>
    <w:p w14:paraId="06E01B22"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Austroads Guide to Traffic Engineering Practice Parts 1 &amp; 15</w:t>
      </w:r>
    </w:p>
    <w:p w14:paraId="5E7DA192"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Austroads design vehicles and turning path templates</w:t>
      </w:r>
    </w:p>
    <w:p w14:paraId="14AC3D0D"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Austroads guide to Road Design</w:t>
      </w:r>
    </w:p>
    <w:p w14:paraId="2EAEDB7D" w14:textId="77777777" w:rsidR="005F79FA" w:rsidRPr="00EA6639" w:rsidRDefault="005F79FA" w:rsidP="00375695">
      <w:pPr>
        <w:pStyle w:val="BodyText"/>
        <w:numPr>
          <w:ilvl w:val="0"/>
          <w:numId w:val="7"/>
        </w:numPr>
        <w:tabs>
          <w:tab w:val="left" w:pos="709"/>
        </w:tabs>
        <w:spacing w:before="60" w:after="60"/>
        <w:ind w:right="375"/>
        <w:rPr>
          <w:rFonts w:cs="Arial"/>
          <w:szCs w:val="24"/>
        </w:rPr>
      </w:pPr>
      <w:r w:rsidRPr="00EA6639">
        <w:rPr>
          <w:rFonts w:cs="Arial"/>
          <w:szCs w:val="24"/>
        </w:rPr>
        <w:t>Main Roads WA – Standard Drawings and Documentation</w:t>
      </w:r>
    </w:p>
    <w:p w14:paraId="052713FE" w14:textId="77777777" w:rsidR="00C625ED" w:rsidRPr="00EA0A8F" w:rsidRDefault="00C625ED" w:rsidP="00EA0A8F">
      <w:pPr>
        <w:pStyle w:val="BodyText"/>
        <w:sectPr w:rsidR="00C625ED" w:rsidRPr="00EA0A8F" w:rsidSect="00EE27AC">
          <w:footerReference w:type="default" r:id="rId45"/>
          <w:pgSz w:w="11907" w:h="16839" w:code="9"/>
          <w:pgMar w:top="1134" w:right="900" w:bottom="1276" w:left="1560" w:header="708" w:footer="708" w:gutter="0"/>
          <w:cols w:space="708"/>
          <w:docGrid w:linePitch="360"/>
        </w:sectPr>
      </w:pPr>
    </w:p>
    <w:p w14:paraId="4736B8FC" w14:textId="77777777" w:rsidR="00B41A59" w:rsidRDefault="00504229" w:rsidP="00B41A59">
      <w:r>
        <w:rPr>
          <w:noProof/>
        </w:rPr>
        <w:lastRenderedPageBreak/>
        <w:pict w14:anchorId="286BC3E6">
          <v:shape id="_x0000_s1026" type="#_x0000_t75" style="position:absolute;left:0;text-align:left;margin-left:-56.5pt;margin-top:-62.6pt;width:616pt;height:791.35pt;z-index:-251407872;mso-position-horizontal-relative:text;mso-position-vertical-relative:text" wrapcoords="-29 0 -29 21579 21600 21579 21600 0 -29 0">
            <v:imagedata r:id="rId46" o:title="backpage"/>
            <w10:wrap type="tight"/>
          </v:shape>
        </w:pict>
      </w:r>
    </w:p>
    <w:sectPr w:rsidR="00B41A59" w:rsidSect="00BA0CA7">
      <w:headerReference w:type="default" r:id="rId47"/>
      <w:pgSz w:w="12240" w:h="15840"/>
      <w:pgMar w:top="22" w:right="49"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629F8" w14:textId="77777777" w:rsidR="00140CAE" w:rsidRDefault="00140CAE" w:rsidP="00E36375">
      <w:pPr>
        <w:pStyle w:val="BodyText"/>
      </w:pPr>
      <w:r>
        <w:separator/>
      </w:r>
    </w:p>
  </w:endnote>
  <w:endnote w:type="continuationSeparator" w:id="0">
    <w:p w14:paraId="350128B0" w14:textId="77777777" w:rsidR="00140CAE" w:rsidRDefault="00140CAE" w:rsidP="00E36375">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ews Gothic BT">
    <w:altName w:val="Calibri"/>
    <w:panose1 w:val="00000000000000000000"/>
    <w:charset w:val="00"/>
    <w:family w:val="swiss"/>
    <w:notTrueType/>
    <w:pitch w:val="default"/>
    <w:sig w:usb0="00000003" w:usb1="00000000" w:usb2="00000000" w:usb3="00000000" w:csb0="00000001" w:csb1="00000000"/>
  </w:font>
  <w:font w:name="News Gothic Com">
    <w:altName w:val="News Gothic Com"/>
    <w:charset w:val="4D"/>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NewsGothicBT-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E31C" w14:textId="77777777" w:rsidR="00140CAE" w:rsidRPr="00E45A51" w:rsidRDefault="00140CAE" w:rsidP="00EB104D">
    <w:pPr>
      <w:pStyle w:val="Footer"/>
      <w:tabs>
        <w:tab w:val="clear" w:pos="4320"/>
        <w:tab w:val="clear" w:pos="8640"/>
        <w:tab w:val="center" w:pos="1276"/>
        <w:tab w:val="left" w:pos="8080"/>
        <w:tab w:val="right" w:pos="9356"/>
      </w:tabs>
      <w:spacing w:after="0"/>
      <w:ind w:right="-23"/>
      <w:jc w:val="left"/>
      <w:rPr>
        <w:color w:val="0070C0"/>
        <w:szCs w:val="24"/>
      </w:rPr>
    </w:pPr>
    <w:r w:rsidRPr="00E136F9">
      <w:rPr>
        <w:color w:val="0070C0"/>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C6F5" w14:textId="77777777" w:rsidR="00140CAE" w:rsidRPr="00104947" w:rsidRDefault="00140CAE" w:rsidP="00C575D7">
    <w:pPr>
      <w:pStyle w:val="Footer"/>
      <w:tabs>
        <w:tab w:val="clear" w:pos="8640"/>
        <w:tab w:val="right" w:pos="8505"/>
      </w:tabs>
      <w:ind w:right="-482"/>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6356834"/>
      <w:docPartObj>
        <w:docPartGallery w:val="Page Numbers (Bottom of Page)"/>
        <w:docPartUnique/>
      </w:docPartObj>
    </w:sdtPr>
    <w:sdtEndPr>
      <w:rPr>
        <w:noProof/>
      </w:rPr>
    </w:sdtEndPr>
    <w:sdtContent>
      <w:p w14:paraId="5A68E0FC" w14:textId="77777777" w:rsidR="00140CAE" w:rsidRDefault="00140CAE">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48C0E2C" w14:textId="77777777" w:rsidR="00140CAE" w:rsidRPr="00EB104D" w:rsidRDefault="00140CAE" w:rsidP="00EB10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742E" w14:textId="77777777" w:rsidR="00140CAE" w:rsidRPr="00E136F9" w:rsidRDefault="00140CAE" w:rsidP="00443F64">
    <w:pPr>
      <w:pStyle w:val="Footer"/>
      <w:pBdr>
        <w:top w:val="single" w:sz="4" w:space="1" w:color="auto"/>
      </w:pBdr>
      <w:tabs>
        <w:tab w:val="clear" w:pos="4320"/>
        <w:tab w:val="clear" w:pos="8640"/>
        <w:tab w:val="center" w:pos="1276"/>
        <w:tab w:val="left" w:pos="8080"/>
        <w:tab w:val="right" w:pos="9356"/>
      </w:tabs>
      <w:spacing w:after="0"/>
      <w:ind w:right="-23"/>
      <w:jc w:val="left"/>
      <w:rPr>
        <w:color w:val="0070C0"/>
        <w:szCs w:val="24"/>
      </w:rPr>
    </w:pPr>
    <w:r w:rsidRPr="00E136F9">
      <w:rPr>
        <w:noProof/>
        <w:color w:val="0070C0"/>
        <w:szCs w:val="24"/>
        <w:lang w:eastAsia="en-AU"/>
      </w:rPr>
      <w:drawing>
        <wp:inline distT="0" distB="0" distL="0" distR="0" wp14:anchorId="457A6246" wp14:editId="0318E31C">
          <wp:extent cx="561975" cy="136802"/>
          <wp:effectExtent l="19050" t="0" r="9525" b="0"/>
          <wp:docPr id="13" name="Picture 1" descr="T:\1 Corporate Forms and templates\Cockburn Logo\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Corporate Forms and templates\Cockburn Logo\blue-symbol.gif"/>
                  <pic:cNvPicPr>
                    <a:picLocks noChangeAspect="1" noChangeArrowheads="1"/>
                  </pic:cNvPicPr>
                </pic:nvPicPr>
                <pic:blipFill>
                  <a:blip r:embed="rId1"/>
                  <a:srcRect/>
                  <a:stretch>
                    <a:fillRect/>
                  </a:stretch>
                </pic:blipFill>
                <pic:spPr bwMode="auto">
                  <a:xfrm>
                    <a:off x="0" y="0"/>
                    <a:ext cx="566753" cy="137965"/>
                  </a:xfrm>
                  <a:prstGeom prst="rect">
                    <a:avLst/>
                  </a:prstGeom>
                  <a:noFill/>
                  <a:ln w="9525">
                    <a:noFill/>
                    <a:miter lim="800000"/>
                    <a:headEnd/>
                    <a:tailEnd/>
                  </a:ln>
                </pic:spPr>
              </pic:pic>
            </a:graphicData>
          </a:graphic>
        </wp:inline>
      </w:drawing>
    </w:r>
    <w:r w:rsidRPr="00E136F9">
      <w:rPr>
        <w:color w:val="0070C0"/>
        <w:szCs w:val="24"/>
      </w:rPr>
      <w:t xml:space="preserve">CITY OF COCKBURN </w:t>
    </w:r>
    <w:r w:rsidRPr="00E136F9">
      <w:rPr>
        <w:color w:val="0070C0"/>
        <w:szCs w:val="2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BA66" w14:textId="77777777" w:rsidR="00140CAE" w:rsidRPr="00283C93" w:rsidRDefault="00140CAE" w:rsidP="00283C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8975432"/>
      <w:docPartObj>
        <w:docPartGallery w:val="Page Numbers (Bottom of Page)"/>
        <w:docPartUnique/>
      </w:docPartObj>
    </w:sdtPr>
    <w:sdtEndPr>
      <w:rPr>
        <w:noProof/>
      </w:rPr>
    </w:sdtEndPr>
    <w:sdtContent>
      <w:p w14:paraId="204912D2" w14:textId="77777777" w:rsidR="00140CAE" w:rsidRDefault="00140CA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2E63C2BB" w14:textId="77777777" w:rsidR="00140CAE" w:rsidRPr="008E0020" w:rsidRDefault="00140CAE" w:rsidP="008E0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F9743" w14:textId="77777777" w:rsidR="00140CAE" w:rsidRDefault="00140CAE" w:rsidP="00E36375">
      <w:pPr>
        <w:pStyle w:val="BodyText"/>
      </w:pPr>
      <w:r>
        <w:separator/>
      </w:r>
    </w:p>
  </w:footnote>
  <w:footnote w:type="continuationSeparator" w:id="0">
    <w:p w14:paraId="355DC366" w14:textId="77777777" w:rsidR="00140CAE" w:rsidRDefault="00140CAE" w:rsidP="00E36375">
      <w:pPr>
        <w:pStyle w:val="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47EEF" w14:textId="77777777" w:rsidR="00140CAE" w:rsidRDefault="00140CAE" w:rsidP="00642DD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067BE8" w14:textId="77777777" w:rsidR="00140CAE" w:rsidRDefault="00140C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88FF2" w14:textId="77777777" w:rsidR="00140CAE" w:rsidRPr="00EB104D" w:rsidRDefault="00140CAE" w:rsidP="00EB1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A3E1D" w14:textId="77777777" w:rsidR="00140CAE" w:rsidRDefault="00140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65984" w14:textId="77777777" w:rsidR="00140CAE" w:rsidRPr="00D13ADB" w:rsidRDefault="00504229" w:rsidP="0084014D">
    <w:pPr>
      <w:pStyle w:val="Header"/>
      <w:jc w:val="right"/>
      <w:rPr>
        <w:rFonts w:cs="Arial"/>
        <w:color w:val="0070C0"/>
        <w:szCs w:val="24"/>
        <w:u w:val="single"/>
      </w:rPr>
    </w:pPr>
    <w:sdt>
      <w:sdtPr>
        <w:rPr>
          <w:rFonts w:cs="Arial"/>
          <w:color w:val="0070C0"/>
          <w:szCs w:val="24"/>
          <w:u w:val="single"/>
        </w:rPr>
        <w:id w:val="-1101182022"/>
        <w:docPartObj>
          <w:docPartGallery w:val="Page Numbers (Top of Page)"/>
          <w:docPartUnique/>
        </w:docPartObj>
      </w:sdtPr>
      <w:sdtEndPr/>
      <w:sdtContent>
        <w:r w:rsidR="00140CAE" w:rsidRPr="00D13ADB">
          <w:rPr>
            <w:rFonts w:cs="Arial"/>
            <w:color w:val="0070C0"/>
            <w:szCs w:val="24"/>
            <w:u w:val="single"/>
          </w:rPr>
          <w:t>FOOTPATH ASSET MANAGEMENT PLAN</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186D9" w14:textId="77777777" w:rsidR="00140CAE" w:rsidRPr="001C6735" w:rsidRDefault="00140CAE" w:rsidP="001C6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6BFA"/>
    <w:multiLevelType w:val="hybridMultilevel"/>
    <w:tmpl w:val="5032E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21A66"/>
    <w:multiLevelType w:val="hybridMultilevel"/>
    <w:tmpl w:val="E460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F6AF3"/>
    <w:multiLevelType w:val="hybridMultilevel"/>
    <w:tmpl w:val="4F14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81B1C"/>
    <w:multiLevelType w:val="hybridMultilevel"/>
    <w:tmpl w:val="7F66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47BEE"/>
    <w:multiLevelType w:val="hybridMultilevel"/>
    <w:tmpl w:val="2E56E586"/>
    <w:lvl w:ilvl="0" w:tplc="6BECDC0C">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F4B7F"/>
    <w:multiLevelType w:val="hybridMultilevel"/>
    <w:tmpl w:val="310E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D704C"/>
    <w:multiLevelType w:val="hybridMultilevel"/>
    <w:tmpl w:val="D4404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8A2486"/>
    <w:multiLevelType w:val="hybridMultilevel"/>
    <w:tmpl w:val="E1D69324"/>
    <w:lvl w:ilvl="0" w:tplc="5D8E86C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0DD54B21"/>
    <w:multiLevelType w:val="hybridMultilevel"/>
    <w:tmpl w:val="D4602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2A1AB3"/>
    <w:multiLevelType w:val="hybridMultilevel"/>
    <w:tmpl w:val="F5985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43FE1"/>
    <w:multiLevelType w:val="hybridMultilevel"/>
    <w:tmpl w:val="C48E282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13A73023"/>
    <w:multiLevelType w:val="hybridMultilevel"/>
    <w:tmpl w:val="DAEE96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5403AE3"/>
    <w:multiLevelType w:val="hybridMultilevel"/>
    <w:tmpl w:val="F1C240A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7743C0B"/>
    <w:multiLevelType w:val="hybridMultilevel"/>
    <w:tmpl w:val="6F9E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D36E3"/>
    <w:multiLevelType w:val="hybridMultilevel"/>
    <w:tmpl w:val="7506D4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298F1D73"/>
    <w:multiLevelType w:val="hybridMultilevel"/>
    <w:tmpl w:val="DDC44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9B76B0"/>
    <w:multiLevelType w:val="hybridMultilevel"/>
    <w:tmpl w:val="278C8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FE4255"/>
    <w:multiLevelType w:val="hybridMultilevel"/>
    <w:tmpl w:val="D7A693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9979CA"/>
    <w:multiLevelType w:val="hybridMultilevel"/>
    <w:tmpl w:val="A864A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674F2F"/>
    <w:multiLevelType w:val="hybridMultilevel"/>
    <w:tmpl w:val="FEDAA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391B5B"/>
    <w:multiLevelType w:val="hybridMultilevel"/>
    <w:tmpl w:val="2CAE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11E1A"/>
    <w:multiLevelType w:val="hybridMultilevel"/>
    <w:tmpl w:val="9DA6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10CC9"/>
    <w:multiLevelType w:val="hybridMultilevel"/>
    <w:tmpl w:val="A9B8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6B1487"/>
    <w:multiLevelType w:val="hybridMultilevel"/>
    <w:tmpl w:val="56FEC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D156E6"/>
    <w:multiLevelType w:val="hybridMultilevel"/>
    <w:tmpl w:val="B8DAF400"/>
    <w:lvl w:ilvl="0" w:tplc="069292E0">
      <w:start w:val="1"/>
      <w:numFmt w:val="bullet"/>
      <w:lvlText w:val="­"/>
      <w:lvlJc w:val="left"/>
      <w:pPr>
        <w:ind w:left="2160" w:hanging="360"/>
      </w:pPr>
      <w:rPr>
        <w:rFonts w:ascii="Courier New" w:hAnsi="Courier New" w:cs="Times New Roman"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5" w15:restartNumberingAfterBreak="0">
    <w:nsid w:val="50440655"/>
    <w:multiLevelType w:val="hybridMultilevel"/>
    <w:tmpl w:val="5532C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5A3E14"/>
    <w:multiLevelType w:val="hybridMultilevel"/>
    <w:tmpl w:val="6A78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FA52F7"/>
    <w:multiLevelType w:val="hybridMultilevel"/>
    <w:tmpl w:val="44D6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0717F5"/>
    <w:multiLevelType w:val="hybridMultilevel"/>
    <w:tmpl w:val="7F2C306A"/>
    <w:lvl w:ilvl="0" w:tplc="B0C29BAA">
      <w:start w:val="1"/>
      <w:numFmt w:val="decimal"/>
      <w:lvlText w:val="%1."/>
      <w:lvlJc w:val="left"/>
      <w:pPr>
        <w:ind w:left="786" w:hanging="360"/>
      </w:pPr>
      <w:rPr>
        <w:rFonts w:hint="default"/>
        <w:color w:val="0070C0"/>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0" w15:restartNumberingAfterBreak="0">
    <w:nsid w:val="56234982"/>
    <w:multiLevelType w:val="hybridMultilevel"/>
    <w:tmpl w:val="A7305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93C7C"/>
    <w:multiLevelType w:val="hybridMultilevel"/>
    <w:tmpl w:val="499EA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2C63DF"/>
    <w:multiLevelType w:val="hybridMultilevel"/>
    <w:tmpl w:val="80105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33461"/>
    <w:multiLevelType w:val="hybridMultilevel"/>
    <w:tmpl w:val="6EDC8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465161"/>
    <w:multiLevelType w:val="hybridMultilevel"/>
    <w:tmpl w:val="BA9A2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4A09C4"/>
    <w:multiLevelType w:val="hybridMultilevel"/>
    <w:tmpl w:val="DE30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A0B46"/>
    <w:multiLevelType w:val="hybridMultilevel"/>
    <w:tmpl w:val="6D0A98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C87DCD"/>
    <w:multiLevelType w:val="hybridMultilevel"/>
    <w:tmpl w:val="DC04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C2653E"/>
    <w:multiLevelType w:val="hybridMultilevel"/>
    <w:tmpl w:val="A9548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FE6678"/>
    <w:multiLevelType w:val="hybridMultilevel"/>
    <w:tmpl w:val="C120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D67916"/>
    <w:multiLevelType w:val="hybridMultilevel"/>
    <w:tmpl w:val="03EC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5E2104"/>
    <w:multiLevelType w:val="hybridMultilevel"/>
    <w:tmpl w:val="9DE85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914BDB"/>
    <w:multiLevelType w:val="hybridMultilevel"/>
    <w:tmpl w:val="6E52D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
  </w:num>
  <w:num w:numId="4">
    <w:abstractNumId w:val="21"/>
  </w:num>
  <w:num w:numId="5">
    <w:abstractNumId w:val="13"/>
  </w:num>
  <w:num w:numId="6">
    <w:abstractNumId w:val="35"/>
  </w:num>
  <w:num w:numId="7">
    <w:abstractNumId w:val="7"/>
  </w:num>
  <w:num w:numId="8">
    <w:abstractNumId w:val="36"/>
  </w:num>
  <w:num w:numId="9">
    <w:abstractNumId w:val="10"/>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7"/>
  </w:num>
  <w:num w:numId="13">
    <w:abstractNumId w:val="42"/>
  </w:num>
  <w:num w:numId="14">
    <w:abstractNumId w:val="25"/>
  </w:num>
  <w:num w:numId="15">
    <w:abstractNumId w:val="17"/>
  </w:num>
  <w:num w:numId="16">
    <w:abstractNumId w:val="24"/>
  </w:num>
  <w:num w:numId="17">
    <w:abstractNumId w:val="30"/>
  </w:num>
  <w:num w:numId="18">
    <w:abstractNumId w:val="16"/>
  </w:num>
  <w:num w:numId="19">
    <w:abstractNumId w:val="0"/>
  </w:num>
  <w:num w:numId="20">
    <w:abstractNumId w:val="18"/>
  </w:num>
  <w:num w:numId="21">
    <w:abstractNumId w:val="29"/>
  </w:num>
  <w:num w:numId="22">
    <w:abstractNumId w:val="11"/>
  </w:num>
  <w:num w:numId="23">
    <w:abstractNumId w:val="4"/>
  </w:num>
  <w:num w:numId="24">
    <w:abstractNumId w:val="9"/>
  </w:num>
  <w:num w:numId="25">
    <w:abstractNumId w:val="19"/>
  </w:num>
  <w:num w:numId="26">
    <w:abstractNumId w:val="22"/>
  </w:num>
  <w:num w:numId="27">
    <w:abstractNumId w:val="3"/>
  </w:num>
  <w:num w:numId="28">
    <w:abstractNumId w:val="26"/>
  </w:num>
  <w:num w:numId="29">
    <w:abstractNumId w:val="40"/>
  </w:num>
  <w:num w:numId="30">
    <w:abstractNumId w:val="38"/>
  </w:num>
  <w:num w:numId="31">
    <w:abstractNumId w:val="15"/>
  </w:num>
  <w:num w:numId="32">
    <w:abstractNumId w:val="8"/>
  </w:num>
  <w:num w:numId="33">
    <w:abstractNumId w:val="20"/>
  </w:num>
  <w:num w:numId="34">
    <w:abstractNumId w:val="39"/>
  </w:num>
  <w:num w:numId="35">
    <w:abstractNumId w:val="6"/>
  </w:num>
  <w:num w:numId="36">
    <w:abstractNumId w:val="32"/>
  </w:num>
  <w:num w:numId="37">
    <w:abstractNumId w:val="1"/>
  </w:num>
  <w:num w:numId="38">
    <w:abstractNumId w:val="37"/>
  </w:num>
  <w:num w:numId="39">
    <w:abstractNumId w:val="23"/>
  </w:num>
  <w:num w:numId="40">
    <w:abstractNumId w:val="31"/>
  </w:num>
  <w:num w:numId="41">
    <w:abstractNumId w:val="41"/>
  </w:num>
  <w:num w:numId="42">
    <w:abstractNumId w:val="33"/>
  </w:num>
  <w:num w:numId="43">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352257">
      <o:colormenu v:ext="edit" fillcolor="none [2732]" strokecolor="none [240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5B1"/>
    <w:rsid w:val="000006B4"/>
    <w:rsid w:val="000011F7"/>
    <w:rsid w:val="0000147E"/>
    <w:rsid w:val="0000171D"/>
    <w:rsid w:val="00001CEB"/>
    <w:rsid w:val="00001D16"/>
    <w:rsid w:val="00002CBA"/>
    <w:rsid w:val="00003200"/>
    <w:rsid w:val="000038CE"/>
    <w:rsid w:val="00003DD8"/>
    <w:rsid w:val="00003EC9"/>
    <w:rsid w:val="00003F69"/>
    <w:rsid w:val="00004027"/>
    <w:rsid w:val="0000474A"/>
    <w:rsid w:val="00004A4B"/>
    <w:rsid w:val="00004D30"/>
    <w:rsid w:val="000054A6"/>
    <w:rsid w:val="00006037"/>
    <w:rsid w:val="00006449"/>
    <w:rsid w:val="00007327"/>
    <w:rsid w:val="00007C8E"/>
    <w:rsid w:val="00007EF7"/>
    <w:rsid w:val="000113A0"/>
    <w:rsid w:val="00012039"/>
    <w:rsid w:val="00012493"/>
    <w:rsid w:val="0001251F"/>
    <w:rsid w:val="0001289F"/>
    <w:rsid w:val="000133ED"/>
    <w:rsid w:val="00013798"/>
    <w:rsid w:val="000138F9"/>
    <w:rsid w:val="00013B4F"/>
    <w:rsid w:val="00016CEA"/>
    <w:rsid w:val="00016F96"/>
    <w:rsid w:val="000212C6"/>
    <w:rsid w:val="00022358"/>
    <w:rsid w:val="00022643"/>
    <w:rsid w:val="000229A0"/>
    <w:rsid w:val="00023369"/>
    <w:rsid w:val="00024623"/>
    <w:rsid w:val="00025ECB"/>
    <w:rsid w:val="000273FB"/>
    <w:rsid w:val="00027764"/>
    <w:rsid w:val="00027BB2"/>
    <w:rsid w:val="00027C4E"/>
    <w:rsid w:val="00030637"/>
    <w:rsid w:val="00030A93"/>
    <w:rsid w:val="00030CD1"/>
    <w:rsid w:val="00031E3E"/>
    <w:rsid w:val="00031E4D"/>
    <w:rsid w:val="00032118"/>
    <w:rsid w:val="00032DB0"/>
    <w:rsid w:val="000330C1"/>
    <w:rsid w:val="00033457"/>
    <w:rsid w:val="00033DF9"/>
    <w:rsid w:val="00034983"/>
    <w:rsid w:val="00035209"/>
    <w:rsid w:val="0003551F"/>
    <w:rsid w:val="00035A03"/>
    <w:rsid w:val="00035B8B"/>
    <w:rsid w:val="00035C1B"/>
    <w:rsid w:val="00035EE8"/>
    <w:rsid w:val="00036C0B"/>
    <w:rsid w:val="000373D6"/>
    <w:rsid w:val="0004097B"/>
    <w:rsid w:val="00041A83"/>
    <w:rsid w:val="00043570"/>
    <w:rsid w:val="000435C7"/>
    <w:rsid w:val="00043F40"/>
    <w:rsid w:val="00044641"/>
    <w:rsid w:val="00044A39"/>
    <w:rsid w:val="00044AC7"/>
    <w:rsid w:val="0004506D"/>
    <w:rsid w:val="0004684E"/>
    <w:rsid w:val="00047963"/>
    <w:rsid w:val="00047AAA"/>
    <w:rsid w:val="00047C9A"/>
    <w:rsid w:val="0005076A"/>
    <w:rsid w:val="00050F6D"/>
    <w:rsid w:val="000519B0"/>
    <w:rsid w:val="00051A19"/>
    <w:rsid w:val="00051B36"/>
    <w:rsid w:val="00051B8C"/>
    <w:rsid w:val="00051F12"/>
    <w:rsid w:val="0005259F"/>
    <w:rsid w:val="000527F5"/>
    <w:rsid w:val="00052A35"/>
    <w:rsid w:val="00052E16"/>
    <w:rsid w:val="00054060"/>
    <w:rsid w:val="000549D7"/>
    <w:rsid w:val="00056061"/>
    <w:rsid w:val="0005617B"/>
    <w:rsid w:val="00056575"/>
    <w:rsid w:val="000572FB"/>
    <w:rsid w:val="00057636"/>
    <w:rsid w:val="0006023E"/>
    <w:rsid w:val="00060B79"/>
    <w:rsid w:val="00062AD6"/>
    <w:rsid w:val="00063D27"/>
    <w:rsid w:val="000640FA"/>
    <w:rsid w:val="00064325"/>
    <w:rsid w:val="000644AE"/>
    <w:rsid w:val="00065488"/>
    <w:rsid w:val="0006693C"/>
    <w:rsid w:val="0006732E"/>
    <w:rsid w:val="000678E1"/>
    <w:rsid w:val="00067ACB"/>
    <w:rsid w:val="00070135"/>
    <w:rsid w:val="000701E7"/>
    <w:rsid w:val="00070E45"/>
    <w:rsid w:val="000710A1"/>
    <w:rsid w:val="00071609"/>
    <w:rsid w:val="00071CCA"/>
    <w:rsid w:val="0007244D"/>
    <w:rsid w:val="00072BB1"/>
    <w:rsid w:val="0007397F"/>
    <w:rsid w:val="00073B75"/>
    <w:rsid w:val="00074460"/>
    <w:rsid w:val="000746D0"/>
    <w:rsid w:val="00074CB1"/>
    <w:rsid w:val="0007578A"/>
    <w:rsid w:val="00075D1F"/>
    <w:rsid w:val="00077829"/>
    <w:rsid w:val="00077FBC"/>
    <w:rsid w:val="00082153"/>
    <w:rsid w:val="00082680"/>
    <w:rsid w:val="000828EB"/>
    <w:rsid w:val="00084023"/>
    <w:rsid w:val="0008470E"/>
    <w:rsid w:val="0008499A"/>
    <w:rsid w:val="000852DC"/>
    <w:rsid w:val="00085AB7"/>
    <w:rsid w:val="00086454"/>
    <w:rsid w:val="00086540"/>
    <w:rsid w:val="00086D6D"/>
    <w:rsid w:val="00086F93"/>
    <w:rsid w:val="00087249"/>
    <w:rsid w:val="000873C9"/>
    <w:rsid w:val="000879A1"/>
    <w:rsid w:val="00090541"/>
    <w:rsid w:val="00090D9C"/>
    <w:rsid w:val="00091048"/>
    <w:rsid w:val="000918D3"/>
    <w:rsid w:val="000927B3"/>
    <w:rsid w:val="00092E51"/>
    <w:rsid w:val="00092F5C"/>
    <w:rsid w:val="00093AE5"/>
    <w:rsid w:val="00093B01"/>
    <w:rsid w:val="00094D7B"/>
    <w:rsid w:val="00095183"/>
    <w:rsid w:val="0009581B"/>
    <w:rsid w:val="00096066"/>
    <w:rsid w:val="00096883"/>
    <w:rsid w:val="000972BB"/>
    <w:rsid w:val="00097518"/>
    <w:rsid w:val="000A0AAE"/>
    <w:rsid w:val="000A0FFD"/>
    <w:rsid w:val="000A2516"/>
    <w:rsid w:val="000A2ED4"/>
    <w:rsid w:val="000A2F56"/>
    <w:rsid w:val="000A3847"/>
    <w:rsid w:val="000A4334"/>
    <w:rsid w:val="000A6363"/>
    <w:rsid w:val="000A6720"/>
    <w:rsid w:val="000A6B44"/>
    <w:rsid w:val="000A70F3"/>
    <w:rsid w:val="000A7138"/>
    <w:rsid w:val="000A7649"/>
    <w:rsid w:val="000A7CC1"/>
    <w:rsid w:val="000A7D63"/>
    <w:rsid w:val="000B042D"/>
    <w:rsid w:val="000B0B99"/>
    <w:rsid w:val="000B1B6B"/>
    <w:rsid w:val="000B2002"/>
    <w:rsid w:val="000B33A8"/>
    <w:rsid w:val="000B4559"/>
    <w:rsid w:val="000B489E"/>
    <w:rsid w:val="000B4BC9"/>
    <w:rsid w:val="000B4E26"/>
    <w:rsid w:val="000B5144"/>
    <w:rsid w:val="000B5DF2"/>
    <w:rsid w:val="000B6200"/>
    <w:rsid w:val="000B68EC"/>
    <w:rsid w:val="000B6A01"/>
    <w:rsid w:val="000C0BC8"/>
    <w:rsid w:val="000C1004"/>
    <w:rsid w:val="000C3C26"/>
    <w:rsid w:val="000C41E5"/>
    <w:rsid w:val="000C47A5"/>
    <w:rsid w:val="000C47C6"/>
    <w:rsid w:val="000C55EE"/>
    <w:rsid w:val="000C66FE"/>
    <w:rsid w:val="000C738F"/>
    <w:rsid w:val="000C7701"/>
    <w:rsid w:val="000D01D6"/>
    <w:rsid w:val="000D02CA"/>
    <w:rsid w:val="000D0D8B"/>
    <w:rsid w:val="000D1C22"/>
    <w:rsid w:val="000D20ED"/>
    <w:rsid w:val="000D2352"/>
    <w:rsid w:val="000D280C"/>
    <w:rsid w:val="000D3332"/>
    <w:rsid w:val="000D3A3E"/>
    <w:rsid w:val="000D40DD"/>
    <w:rsid w:val="000D4901"/>
    <w:rsid w:val="000D4AB6"/>
    <w:rsid w:val="000D542A"/>
    <w:rsid w:val="000D578B"/>
    <w:rsid w:val="000D70F5"/>
    <w:rsid w:val="000D779A"/>
    <w:rsid w:val="000D795A"/>
    <w:rsid w:val="000E0200"/>
    <w:rsid w:val="000E0863"/>
    <w:rsid w:val="000E1F44"/>
    <w:rsid w:val="000E22EC"/>
    <w:rsid w:val="000E374B"/>
    <w:rsid w:val="000E37F8"/>
    <w:rsid w:val="000E3B9E"/>
    <w:rsid w:val="000E4B57"/>
    <w:rsid w:val="000E5607"/>
    <w:rsid w:val="000E600E"/>
    <w:rsid w:val="000F109F"/>
    <w:rsid w:val="000F13F8"/>
    <w:rsid w:val="000F18A2"/>
    <w:rsid w:val="000F39F6"/>
    <w:rsid w:val="000F4300"/>
    <w:rsid w:val="000F460B"/>
    <w:rsid w:val="000F4851"/>
    <w:rsid w:val="000F4D19"/>
    <w:rsid w:val="000F5092"/>
    <w:rsid w:val="000F5867"/>
    <w:rsid w:val="000F59AF"/>
    <w:rsid w:val="000F64BA"/>
    <w:rsid w:val="000F6737"/>
    <w:rsid w:val="000F68E3"/>
    <w:rsid w:val="000F6C93"/>
    <w:rsid w:val="000F73B1"/>
    <w:rsid w:val="000F79F0"/>
    <w:rsid w:val="000F7D52"/>
    <w:rsid w:val="0010014F"/>
    <w:rsid w:val="00100EF1"/>
    <w:rsid w:val="001019A6"/>
    <w:rsid w:val="00102174"/>
    <w:rsid w:val="001021BB"/>
    <w:rsid w:val="001024AA"/>
    <w:rsid w:val="00103071"/>
    <w:rsid w:val="00103EC7"/>
    <w:rsid w:val="00104151"/>
    <w:rsid w:val="0010462B"/>
    <w:rsid w:val="00104947"/>
    <w:rsid w:val="00105032"/>
    <w:rsid w:val="001053CD"/>
    <w:rsid w:val="001059B1"/>
    <w:rsid w:val="0010640F"/>
    <w:rsid w:val="00106854"/>
    <w:rsid w:val="00106C48"/>
    <w:rsid w:val="00106EBF"/>
    <w:rsid w:val="001076D0"/>
    <w:rsid w:val="00107E54"/>
    <w:rsid w:val="00110C6D"/>
    <w:rsid w:val="001111CC"/>
    <w:rsid w:val="001112F0"/>
    <w:rsid w:val="001118CE"/>
    <w:rsid w:val="0011198D"/>
    <w:rsid w:val="0011199F"/>
    <w:rsid w:val="00111CA2"/>
    <w:rsid w:val="00111D47"/>
    <w:rsid w:val="001123F4"/>
    <w:rsid w:val="00112A3E"/>
    <w:rsid w:val="001131D1"/>
    <w:rsid w:val="0011449A"/>
    <w:rsid w:val="00115A70"/>
    <w:rsid w:val="00115D41"/>
    <w:rsid w:val="00116B70"/>
    <w:rsid w:val="00116BD3"/>
    <w:rsid w:val="00121AA0"/>
    <w:rsid w:val="00121E21"/>
    <w:rsid w:val="0012278E"/>
    <w:rsid w:val="00122D9A"/>
    <w:rsid w:val="00122DF3"/>
    <w:rsid w:val="00123996"/>
    <w:rsid w:val="001241FD"/>
    <w:rsid w:val="00124937"/>
    <w:rsid w:val="00124958"/>
    <w:rsid w:val="00124BE1"/>
    <w:rsid w:val="00124C42"/>
    <w:rsid w:val="00124E3B"/>
    <w:rsid w:val="00130D1B"/>
    <w:rsid w:val="0013130B"/>
    <w:rsid w:val="00132753"/>
    <w:rsid w:val="001328AD"/>
    <w:rsid w:val="00132980"/>
    <w:rsid w:val="00132B4F"/>
    <w:rsid w:val="00133804"/>
    <w:rsid w:val="00134375"/>
    <w:rsid w:val="00134D10"/>
    <w:rsid w:val="0013514D"/>
    <w:rsid w:val="00135C53"/>
    <w:rsid w:val="00135D23"/>
    <w:rsid w:val="00137ACE"/>
    <w:rsid w:val="00137CEA"/>
    <w:rsid w:val="0014036A"/>
    <w:rsid w:val="00140801"/>
    <w:rsid w:val="00140CAE"/>
    <w:rsid w:val="00141617"/>
    <w:rsid w:val="00141CD8"/>
    <w:rsid w:val="00142323"/>
    <w:rsid w:val="00142D1E"/>
    <w:rsid w:val="00143035"/>
    <w:rsid w:val="00143185"/>
    <w:rsid w:val="00143596"/>
    <w:rsid w:val="00143888"/>
    <w:rsid w:val="00143FCF"/>
    <w:rsid w:val="00144217"/>
    <w:rsid w:val="001447D6"/>
    <w:rsid w:val="00144B3B"/>
    <w:rsid w:val="00144FEF"/>
    <w:rsid w:val="0014542D"/>
    <w:rsid w:val="00145A38"/>
    <w:rsid w:val="00145D87"/>
    <w:rsid w:val="00145DC6"/>
    <w:rsid w:val="001504A3"/>
    <w:rsid w:val="00151A20"/>
    <w:rsid w:val="00151B8D"/>
    <w:rsid w:val="00151E6E"/>
    <w:rsid w:val="001520FE"/>
    <w:rsid w:val="0015283D"/>
    <w:rsid w:val="00152924"/>
    <w:rsid w:val="00152D7E"/>
    <w:rsid w:val="001539FD"/>
    <w:rsid w:val="00153C53"/>
    <w:rsid w:val="001540FD"/>
    <w:rsid w:val="0015452B"/>
    <w:rsid w:val="001547F4"/>
    <w:rsid w:val="00155DD9"/>
    <w:rsid w:val="001565F4"/>
    <w:rsid w:val="001567EF"/>
    <w:rsid w:val="00157406"/>
    <w:rsid w:val="0016050F"/>
    <w:rsid w:val="0016062F"/>
    <w:rsid w:val="0016090A"/>
    <w:rsid w:val="00160E62"/>
    <w:rsid w:val="00161262"/>
    <w:rsid w:val="00161ACE"/>
    <w:rsid w:val="00162A89"/>
    <w:rsid w:val="001640E0"/>
    <w:rsid w:val="00164892"/>
    <w:rsid w:val="001652A9"/>
    <w:rsid w:val="00165322"/>
    <w:rsid w:val="00166CE7"/>
    <w:rsid w:val="00167014"/>
    <w:rsid w:val="00167058"/>
    <w:rsid w:val="001672B0"/>
    <w:rsid w:val="00167666"/>
    <w:rsid w:val="00167B70"/>
    <w:rsid w:val="00171AAE"/>
    <w:rsid w:val="0017350B"/>
    <w:rsid w:val="0017436A"/>
    <w:rsid w:val="00174BC7"/>
    <w:rsid w:val="00174F64"/>
    <w:rsid w:val="00175D91"/>
    <w:rsid w:val="00175FAC"/>
    <w:rsid w:val="00176D25"/>
    <w:rsid w:val="00176E78"/>
    <w:rsid w:val="00176F86"/>
    <w:rsid w:val="00181212"/>
    <w:rsid w:val="001819AF"/>
    <w:rsid w:val="00181D58"/>
    <w:rsid w:val="0018212C"/>
    <w:rsid w:val="0018328F"/>
    <w:rsid w:val="00183325"/>
    <w:rsid w:val="00183413"/>
    <w:rsid w:val="00184081"/>
    <w:rsid w:val="001842E3"/>
    <w:rsid w:val="00184392"/>
    <w:rsid w:val="00184633"/>
    <w:rsid w:val="00184FA0"/>
    <w:rsid w:val="001852C6"/>
    <w:rsid w:val="001859D3"/>
    <w:rsid w:val="00185A06"/>
    <w:rsid w:val="00186682"/>
    <w:rsid w:val="00186D73"/>
    <w:rsid w:val="00187041"/>
    <w:rsid w:val="001905DF"/>
    <w:rsid w:val="001909B5"/>
    <w:rsid w:val="00190D01"/>
    <w:rsid w:val="001918DF"/>
    <w:rsid w:val="00193D96"/>
    <w:rsid w:val="00193EF0"/>
    <w:rsid w:val="00194E8C"/>
    <w:rsid w:val="0019532F"/>
    <w:rsid w:val="00195A60"/>
    <w:rsid w:val="00196F3B"/>
    <w:rsid w:val="001970CA"/>
    <w:rsid w:val="00197362"/>
    <w:rsid w:val="001974A6"/>
    <w:rsid w:val="00197CA7"/>
    <w:rsid w:val="00197DF8"/>
    <w:rsid w:val="001A0AA6"/>
    <w:rsid w:val="001A0EC8"/>
    <w:rsid w:val="001A1AA4"/>
    <w:rsid w:val="001A2124"/>
    <w:rsid w:val="001A2C99"/>
    <w:rsid w:val="001A2D79"/>
    <w:rsid w:val="001A3F6A"/>
    <w:rsid w:val="001A3FFD"/>
    <w:rsid w:val="001A4532"/>
    <w:rsid w:val="001A475F"/>
    <w:rsid w:val="001A4797"/>
    <w:rsid w:val="001A4852"/>
    <w:rsid w:val="001A4914"/>
    <w:rsid w:val="001A5418"/>
    <w:rsid w:val="001A5C30"/>
    <w:rsid w:val="001A6D9C"/>
    <w:rsid w:val="001A6FA3"/>
    <w:rsid w:val="001B02B9"/>
    <w:rsid w:val="001B06CE"/>
    <w:rsid w:val="001B14CE"/>
    <w:rsid w:val="001B16DD"/>
    <w:rsid w:val="001B1A59"/>
    <w:rsid w:val="001B1CD5"/>
    <w:rsid w:val="001B1DA5"/>
    <w:rsid w:val="001B247B"/>
    <w:rsid w:val="001B2656"/>
    <w:rsid w:val="001B2829"/>
    <w:rsid w:val="001B2B56"/>
    <w:rsid w:val="001B2CE3"/>
    <w:rsid w:val="001B38BD"/>
    <w:rsid w:val="001B3972"/>
    <w:rsid w:val="001B3973"/>
    <w:rsid w:val="001B3C6F"/>
    <w:rsid w:val="001B4214"/>
    <w:rsid w:val="001B4247"/>
    <w:rsid w:val="001B5779"/>
    <w:rsid w:val="001B788F"/>
    <w:rsid w:val="001B78B4"/>
    <w:rsid w:val="001B7E50"/>
    <w:rsid w:val="001C0850"/>
    <w:rsid w:val="001C0A6D"/>
    <w:rsid w:val="001C0D78"/>
    <w:rsid w:val="001C0EF5"/>
    <w:rsid w:val="001C1DF0"/>
    <w:rsid w:val="001C1E9E"/>
    <w:rsid w:val="001C2E35"/>
    <w:rsid w:val="001C3531"/>
    <w:rsid w:val="001C3795"/>
    <w:rsid w:val="001C396C"/>
    <w:rsid w:val="001C40F1"/>
    <w:rsid w:val="001C4213"/>
    <w:rsid w:val="001C449C"/>
    <w:rsid w:val="001C4D0F"/>
    <w:rsid w:val="001C54AC"/>
    <w:rsid w:val="001C5BF5"/>
    <w:rsid w:val="001C6735"/>
    <w:rsid w:val="001C7896"/>
    <w:rsid w:val="001C7B1B"/>
    <w:rsid w:val="001D0031"/>
    <w:rsid w:val="001D085B"/>
    <w:rsid w:val="001D08C6"/>
    <w:rsid w:val="001D09D7"/>
    <w:rsid w:val="001D11EF"/>
    <w:rsid w:val="001D1498"/>
    <w:rsid w:val="001D14B5"/>
    <w:rsid w:val="001D2329"/>
    <w:rsid w:val="001D2B9C"/>
    <w:rsid w:val="001D2D0A"/>
    <w:rsid w:val="001D3BE2"/>
    <w:rsid w:val="001D3D6E"/>
    <w:rsid w:val="001D4D1D"/>
    <w:rsid w:val="001D50BC"/>
    <w:rsid w:val="001D70D9"/>
    <w:rsid w:val="001E07A8"/>
    <w:rsid w:val="001E09CC"/>
    <w:rsid w:val="001E0D5D"/>
    <w:rsid w:val="001E0FC4"/>
    <w:rsid w:val="001E1637"/>
    <w:rsid w:val="001E195E"/>
    <w:rsid w:val="001E29F1"/>
    <w:rsid w:val="001E2CDA"/>
    <w:rsid w:val="001E32D3"/>
    <w:rsid w:val="001E3523"/>
    <w:rsid w:val="001E3BD6"/>
    <w:rsid w:val="001E3D1B"/>
    <w:rsid w:val="001E3DE7"/>
    <w:rsid w:val="001E428C"/>
    <w:rsid w:val="001E44EB"/>
    <w:rsid w:val="001E6035"/>
    <w:rsid w:val="001E66E7"/>
    <w:rsid w:val="001E70E5"/>
    <w:rsid w:val="001E7446"/>
    <w:rsid w:val="001E7CF2"/>
    <w:rsid w:val="001E7ECA"/>
    <w:rsid w:val="001F08A1"/>
    <w:rsid w:val="001F08E6"/>
    <w:rsid w:val="001F0963"/>
    <w:rsid w:val="001F1D61"/>
    <w:rsid w:val="001F1FDD"/>
    <w:rsid w:val="001F214D"/>
    <w:rsid w:val="001F2AC5"/>
    <w:rsid w:val="001F2DAC"/>
    <w:rsid w:val="001F30EB"/>
    <w:rsid w:val="001F3841"/>
    <w:rsid w:val="001F3E3F"/>
    <w:rsid w:val="001F442F"/>
    <w:rsid w:val="001F45D1"/>
    <w:rsid w:val="001F4725"/>
    <w:rsid w:val="001F4933"/>
    <w:rsid w:val="001F4F54"/>
    <w:rsid w:val="001F612E"/>
    <w:rsid w:val="001F629A"/>
    <w:rsid w:val="001F6B0A"/>
    <w:rsid w:val="001F735B"/>
    <w:rsid w:val="001F7612"/>
    <w:rsid w:val="00200239"/>
    <w:rsid w:val="00200E25"/>
    <w:rsid w:val="00201E27"/>
    <w:rsid w:val="0020321A"/>
    <w:rsid w:val="0020345B"/>
    <w:rsid w:val="0020527E"/>
    <w:rsid w:val="00205B05"/>
    <w:rsid w:val="00206232"/>
    <w:rsid w:val="0020636A"/>
    <w:rsid w:val="0020651C"/>
    <w:rsid w:val="00207025"/>
    <w:rsid w:val="00207263"/>
    <w:rsid w:val="002073C1"/>
    <w:rsid w:val="00207E29"/>
    <w:rsid w:val="00210611"/>
    <w:rsid w:val="00210662"/>
    <w:rsid w:val="00210F96"/>
    <w:rsid w:val="0021191A"/>
    <w:rsid w:val="00212020"/>
    <w:rsid w:val="00212583"/>
    <w:rsid w:val="00213786"/>
    <w:rsid w:val="00214ACF"/>
    <w:rsid w:val="00214EE9"/>
    <w:rsid w:val="0021524A"/>
    <w:rsid w:val="002152E8"/>
    <w:rsid w:val="00215CB4"/>
    <w:rsid w:val="00217658"/>
    <w:rsid w:val="002178D6"/>
    <w:rsid w:val="00217B5E"/>
    <w:rsid w:val="00220427"/>
    <w:rsid w:val="00220F6F"/>
    <w:rsid w:val="00222674"/>
    <w:rsid w:val="00222895"/>
    <w:rsid w:val="00223283"/>
    <w:rsid w:val="00223B9E"/>
    <w:rsid w:val="002242D0"/>
    <w:rsid w:val="00224583"/>
    <w:rsid w:val="00224FC6"/>
    <w:rsid w:val="0022633D"/>
    <w:rsid w:val="00226F3B"/>
    <w:rsid w:val="00226FDF"/>
    <w:rsid w:val="00227C4D"/>
    <w:rsid w:val="00227C83"/>
    <w:rsid w:val="0023015E"/>
    <w:rsid w:val="00230C84"/>
    <w:rsid w:val="00231110"/>
    <w:rsid w:val="00231A21"/>
    <w:rsid w:val="00231B54"/>
    <w:rsid w:val="00232958"/>
    <w:rsid w:val="0023326B"/>
    <w:rsid w:val="002341D0"/>
    <w:rsid w:val="0023472B"/>
    <w:rsid w:val="00234A1B"/>
    <w:rsid w:val="00236624"/>
    <w:rsid w:val="00236C86"/>
    <w:rsid w:val="00236DAD"/>
    <w:rsid w:val="00237201"/>
    <w:rsid w:val="00237FC8"/>
    <w:rsid w:val="002411D7"/>
    <w:rsid w:val="002418A4"/>
    <w:rsid w:val="00241AFF"/>
    <w:rsid w:val="0024241D"/>
    <w:rsid w:val="0024244B"/>
    <w:rsid w:val="002434EF"/>
    <w:rsid w:val="00243CDF"/>
    <w:rsid w:val="00243CEF"/>
    <w:rsid w:val="00245E16"/>
    <w:rsid w:val="00247BC9"/>
    <w:rsid w:val="00247E42"/>
    <w:rsid w:val="002504CD"/>
    <w:rsid w:val="00251991"/>
    <w:rsid w:val="00251E59"/>
    <w:rsid w:val="00253337"/>
    <w:rsid w:val="00253549"/>
    <w:rsid w:val="002542A0"/>
    <w:rsid w:val="002550C7"/>
    <w:rsid w:val="002562A8"/>
    <w:rsid w:val="00256950"/>
    <w:rsid w:val="002601C5"/>
    <w:rsid w:val="002609D2"/>
    <w:rsid w:val="002609D5"/>
    <w:rsid w:val="00260EEF"/>
    <w:rsid w:val="0026137A"/>
    <w:rsid w:val="00261CF1"/>
    <w:rsid w:val="002628CC"/>
    <w:rsid w:val="00262A58"/>
    <w:rsid w:val="002630F8"/>
    <w:rsid w:val="002631DC"/>
    <w:rsid w:val="00263688"/>
    <w:rsid w:val="002641B4"/>
    <w:rsid w:val="00264433"/>
    <w:rsid w:val="00264792"/>
    <w:rsid w:val="00265997"/>
    <w:rsid w:val="0026613B"/>
    <w:rsid w:val="002666C8"/>
    <w:rsid w:val="0027028D"/>
    <w:rsid w:val="00270A51"/>
    <w:rsid w:val="00270B9C"/>
    <w:rsid w:val="00271450"/>
    <w:rsid w:val="00271D84"/>
    <w:rsid w:val="00272513"/>
    <w:rsid w:val="00272999"/>
    <w:rsid w:val="00272C7A"/>
    <w:rsid w:val="002739B0"/>
    <w:rsid w:val="0027429A"/>
    <w:rsid w:val="0027470F"/>
    <w:rsid w:val="002753E9"/>
    <w:rsid w:val="00276B1B"/>
    <w:rsid w:val="0028090F"/>
    <w:rsid w:val="00280F69"/>
    <w:rsid w:val="00281739"/>
    <w:rsid w:val="002821BF"/>
    <w:rsid w:val="00283A3E"/>
    <w:rsid w:val="00283C48"/>
    <w:rsid w:val="00283C93"/>
    <w:rsid w:val="00283E49"/>
    <w:rsid w:val="002842F5"/>
    <w:rsid w:val="002865CE"/>
    <w:rsid w:val="00286C0E"/>
    <w:rsid w:val="002872F8"/>
    <w:rsid w:val="0028735F"/>
    <w:rsid w:val="0028753F"/>
    <w:rsid w:val="00287F02"/>
    <w:rsid w:val="00290EBC"/>
    <w:rsid w:val="002910C3"/>
    <w:rsid w:val="002913C5"/>
    <w:rsid w:val="00291583"/>
    <w:rsid w:val="00292FD8"/>
    <w:rsid w:val="00293A1D"/>
    <w:rsid w:val="002946CC"/>
    <w:rsid w:val="002959C3"/>
    <w:rsid w:val="002976FA"/>
    <w:rsid w:val="002A0208"/>
    <w:rsid w:val="002A03FE"/>
    <w:rsid w:val="002A1176"/>
    <w:rsid w:val="002A27A9"/>
    <w:rsid w:val="002A3136"/>
    <w:rsid w:val="002A3B75"/>
    <w:rsid w:val="002A3B7E"/>
    <w:rsid w:val="002A3CFC"/>
    <w:rsid w:val="002A4B0A"/>
    <w:rsid w:val="002A5DD9"/>
    <w:rsid w:val="002A66CF"/>
    <w:rsid w:val="002A685C"/>
    <w:rsid w:val="002A6FE9"/>
    <w:rsid w:val="002A755D"/>
    <w:rsid w:val="002A7BDA"/>
    <w:rsid w:val="002B07AB"/>
    <w:rsid w:val="002B0D8A"/>
    <w:rsid w:val="002B1429"/>
    <w:rsid w:val="002B1923"/>
    <w:rsid w:val="002B2AF9"/>
    <w:rsid w:val="002B2B2F"/>
    <w:rsid w:val="002B2DEC"/>
    <w:rsid w:val="002B3990"/>
    <w:rsid w:val="002B3D33"/>
    <w:rsid w:val="002B4441"/>
    <w:rsid w:val="002B4E36"/>
    <w:rsid w:val="002B4F0A"/>
    <w:rsid w:val="002B5DDB"/>
    <w:rsid w:val="002B7429"/>
    <w:rsid w:val="002B7D8D"/>
    <w:rsid w:val="002C01DE"/>
    <w:rsid w:val="002C077E"/>
    <w:rsid w:val="002C124C"/>
    <w:rsid w:val="002C1675"/>
    <w:rsid w:val="002C1906"/>
    <w:rsid w:val="002C355B"/>
    <w:rsid w:val="002C3561"/>
    <w:rsid w:val="002C362B"/>
    <w:rsid w:val="002C39A7"/>
    <w:rsid w:val="002C45C6"/>
    <w:rsid w:val="002C484C"/>
    <w:rsid w:val="002C487F"/>
    <w:rsid w:val="002C497E"/>
    <w:rsid w:val="002C578F"/>
    <w:rsid w:val="002C6AE3"/>
    <w:rsid w:val="002C74EF"/>
    <w:rsid w:val="002C78D6"/>
    <w:rsid w:val="002C7920"/>
    <w:rsid w:val="002D1316"/>
    <w:rsid w:val="002D148D"/>
    <w:rsid w:val="002D30B3"/>
    <w:rsid w:val="002D322B"/>
    <w:rsid w:val="002D39B0"/>
    <w:rsid w:val="002D50CB"/>
    <w:rsid w:val="002D5928"/>
    <w:rsid w:val="002D6345"/>
    <w:rsid w:val="002D64D1"/>
    <w:rsid w:val="002D6F36"/>
    <w:rsid w:val="002D6FDA"/>
    <w:rsid w:val="002D7060"/>
    <w:rsid w:val="002D70F6"/>
    <w:rsid w:val="002D79EF"/>
    <w:rsid w:val="002E0613"/>
    <w:rsid w:val="002E0A05"/>
    <w:rsid w:val="002E13DD"/>
    <w:rsid w:val="002E17C3"/>
    <w:rsid w:val="002E1830"/>
    <w:rsid w:val="002E197C"/>
    <w:rsid w:val="002E1EA7"/>
    <w:rsid w:val="002E2098"/>
    <w:rsid w:val="002E273B"/>
    <w:rsid w:val="002E2E72"/>
    <w:rsid w:val="002E2F24"/>
    <w:rsid w:val="002E4158"/>
    <w:rsid w:val="002E44FF"/>
    <w:rsid w:val="002E495E"/>
    <w:rsid w:val="002E4F3F"/>
    <w:rsid w:val="002E5376"/>
    <w:rsid w:val="002E5979"/>
    <w:rsid w:val="002E5B42"/>
    <w:rsid w:val="002E6C63"/>
    <w:rsid w:val="002E7F72"/>
    <w:rsid w:val="002F0AC4"/>
    <w:rsid w:val="002F0DCB"/>
    <w:rsid w:val="002F1833"/>
    <w:rsid w:val="002F1D9D"/>
    <w:rsid w:val="002F219A"/>
    <w:rsid w:val="002F2618"/>
    <w:rsid w:val="002F2D28"/>
    <w:rsid w:val="002F3026"/>
    <w:rsid w:val="002F447D"/>
    <w:rsid w:val="002F5AEF"/>
    <w:rsid w:val="002F6587"/>
    <w:rsid w:val="002F73FF"/>
    <w:rsid w:val="00300119"/>
    <w:rsid w:val="00300421"/>
    <w:rsid w:val="0030090B"/>
    <w:rsid w:val="00300D8E"/>
    <w:rsid w:val="0030122C"/>
    <w:rsid w:val="00302C35"/>
    <w:rsid w:val="00303C4D"/>
    <w:rsid w:val="003043B7"/>
    <w:rsid w:val="00304A3D"/>
    <w:rsid w:val="00304C59"/>
    <w:rsid w:val="00304CDF"/>
    <w:rsid w:val="00304E05"/>
    <w:rsid w:val="00305EF1"/>
    <w:rsid w:val="00306474"/>
    <w:rsid w:val="00306580"/>
    <w:rsid w:val="00306A87"/>
    <w:rsid w:val="003070F2"/>
    <w:rsid w:val="00307164"/>
    <w:rsid w:val="0030774B"/>
    <w:rsid w:val="00307F6B"/>
    <w:rsid w:val="00310793"/>
    <w:rsid w:val="00310881"/>
    <w:rsid w:val="00310B5B"/>
    <w:rsid w:val="00311028"/>
    <w:rsid w:val="00311FAC"/>
    <w:rsid w:val="003129BC"/>
    <w:rsid w:val="0031353B"/>
    <w:rsid w:val="003137BF"/>
    <w:rsid w:val="00314AC4"/>
    <w:rsid w:val="00314CCE"/>
    <w:rsid w:val="00315084"/>
    <w:rsid w:val="003150B0"/>
    <w:rsid w:val="0031651C"/>
    <w:rsid w:val="00316B65"/>
    <w:rsid w:val="00316C25"/>
    <w:rsid w:val="00317533"/>
    <w:rsid w:val="00317753"/>
    <w:rsid w:val="00317CDF"/>
    <w:rsid w:val="00321CD5"/>
    <w:rsid w:val="00321D6A"/>
    <w:rsid w:val="00321EF6"/>
    <w:rsid w:val="0032317C"/>
    <w:rsid w:val="0032397E"/>
    <w:rsid w:val="00323A54"/>
    <w:rsid w:val="00324749"/>
    <w:rsid w:val="00324F35"/>
    <w:rsid w:val="00325113"/>
    <w:rsid w:val="0032539C"/>
    <w:rsid w:val="00325444"/>
    <w:rsid w:val="003257D0"/>
    <w:rsid w:val="00326E96"/>
    <w:rsid w:val="00327F86"/>
    <w:rsid w:val="003300E0"/>
    <w:rsid w:val="00330591"/>
    <w:rsid w:val="00330C6C"/>
    <w:rsid w:val="00330F4F"/>
    <w:rsid w:val="00331FB0"/>
    <w:rsid w:val="003320A5"/>
    <w:rsid w:val="00332471"/>
    <w:rsid w:val="00332ADF"/>
    <w:rsid w:val="003335D9"/>
    <w:rsid w:val="003337EE"/>
    <w:rsid w:val="00333831"/>
    <w:rsid w:val="00333CFD"/>
    <w:rsid w:val="003341B5"/>
    <w:rsid w:val="0033436E"/>
    <w:rsid w:val="003343F4"/>
    <w:rsid w:val="00334D62"/>
    <w:rsid w:val="00335266"/>
    <w:rsid w:val="003370F1"/>
    <w:rsid w:val="003371FB"/>
    <w:rsid w:val="003402BC"/>
    <w:rsid w:val="003402C4"/>
    <w:rsid w:val="00340CA6"/>
    <w:rsid w:val="003414C1"/>
    <w:rsid w:val="003414F5"/>
    <w:rsid w:val="00341D25"/>
    <w:rsid w:val="0034204C"/>
    <w:rsid w:val="003424CA"/>
    <w:rsid w:val="003430A1"/>
    <w:rsid w:val="0034441B"/>
    <w:rsid w:val="00344E58"/>
    <w:rsid w:val="00345AFE"/>
    <w:rsid w:val="00345D5C"/>
    <w:rsid w:val="003464BF"/>
    <w:rsid w:val="00346D00"/>
    <w:rsid w:val="003471A4"/>
    <w:rsid w:val="003472DA"/>
    <w:rsid w:val="003474BF"/>
    <w:rsid w:val="00350387"/>
    <w:rsid w:val="0035067F"/>
    <w:rsid w:val="00351358"/>
    <w:rsid w:val="00351715"/>
    <w:rsid w:val="003518BF"/>
    <w:rsid w:val="00351CA3"/>
    <w:rsid w:val="00351E8F"/>
    <w:rsid w:val="00352B23"/>
    <w:rsid w:val="003530C2"/>
    <w:rsid w:val="0035322F"/>
    <w:rsid w:val="00353534"/>
    <w:rsid w:val="0035356B"/>
    <w:rsid w:val="00353FBD"/>
    <w:rsid w:val="0035630A"/>
    <w:rsid w:val="0035732B"/>
    <w:rsid w:val="003577AA"/>
    <w:rsid w:val="00357FE6"/>
    <w:rsid w:val="0036047C"/>
    <w:rsid w:val="00360627"/>
    <w:rsid w:val="00360741"/>
    <w:rsid w:val="00360838"/>
    <w:rsid w:val="003611B8"/>
    <w:rsid w:val="00361562"/>
    <w:rsid w:val="003620C9"/>
    <w:rsid w:val="00362218"/>
    <w:rsid w:val="00362497"/>
    <w:rsid w:val="003632CE"/>
    <w:rsid w:val="003632DA"/>
    <w:rsid w:val="00363480"/>
    <w:rsid w:val="00364184"/>
    <w:rsid w:val="003642BC"/>
    <w:rsid w:val="00364357"/>
    <w:rsid w:val="00366352"/>
    <w:rsid w:val="00367417"/>
    <w:rsid w:val="00367CF6"/>
    <w:rsid w:val="00367FA9"/>
    <w:rsid w:val="00370FF7"/>
    <w:rsid w:val="003711F9"/>
    <w:rsid w:val="003719A8"/>
    <w:rsid w:val="00371DAD"/>
    <w:rsid w:val="0037212C"/>
    <w:rsid w:val="003724ED"/>
    <w:rsid w:val="00372696"/>
    <w:rsid w:val="00372BB0"/>
    <w:rsid w:val="00372C27"/>
    <w:rsid w:val="00372CD8"/>
    <w:rsid w:val="003732B7"/>
    <w:rsid w:val="003735BB"/>
    <w:rsid w:val="00373FE9"/>
    <w:rsid w:val="003741D6"/>
    <w:rsid w:val="003745D2"/>
    <w:rsid w:val="0037485C"/>
    <w:rsid w:val="003751DA"/>
    <w:rsid w:val="00375695"/>
    <w:rsid w:val="003757F6"/>
    <w:rsid w:val="00375AEA"/>
    <w:rsid w:val="00375DB2"/>
    <w:rsid w:val="00376A9C"/>
    <w:rsid w:val="00377374"/>
    <w:rsid w:val="003778A9"/>
    <w:rsid w:val="003800F8"/>
    <w:rsid w:val="003808C2"/>
    <w:rsid w:val="00381208"/>
    <w:rsid w:val="00381680"/>
    <w:rsid w:val="00381EF4"/>
    <w:rsid w:val="0038266A"/>
    <w:rsid w:val="00382B6F"/>
    <w:rsid w:val="00382C7F"/>
    <w:rsid w:val="003832B4"/>
    <w:rsid w:val="003834B0"/>
    <w:rsid w:val="00383EE8"/>
    <w:rsid w:val="00383FB2"/>
    <w:rsid w:val="003847FE"/>
    <w:rsid w:val="00384823"/>
    <w:rsid w:val="00384C2E"/>
    <w:rsid w:val="003851F5"/>
    <w:rsid w:val="003855B0"/>
    <w:rsid w:val="00385719"/>
    <w:rsid w:val="00385ACD"/>
    <w:rsid w:val="00385F3B"/>
    <w:rsid w:val="003866C1"/>
    <w:rsid w:val="00386D7A"/>
    <w:rsid w:val="00387396"/>
    <w:rsid w:val="003877EB"/>
    <w:rsid w:val="00390B5B"/>
    <w:rsid w:val="00391499"/>
    <w:rsid w:val="003914D6"/>
    <w:rsid w:val="00391CD0"/>
    <w:rsid w:val="003920CC"/>
    <w:rsid w:val="003924E1"/>
    <w:rsid w:val="0039263B"/>
    <w:rsid w:val="0039320F"/>
    <w:rsid w:val="003932E8"/>
    <w:rsid w:val="00393501"/>
    <w:rsid w:val="003939A8"/>
    <w:rsid w:val="00393A0D"/>
    <w:rsid w:val="00393A79"/>
    <w:rsid w:val="00393B3D"/>
    <w:rsid w:val="00394332"/>
    <w:rsid w:val="00395089"/>
    <w:rsid w:val="003950C3"/>
    <w:rsid w:val="003950C4"/>
    <w:rsid w:val="003959DF"/>
    <w:rsid w:val="00395B92"/>
    <w:rsid w:val="00396C5E"/>
    <w:rsid w:val="0039707D"/>
    <w:rsid w:val="0039740A"/>
    <w:rsid w:val="00397CE8"/>
    <w:rsid w:val="003A056E"/>
    <w:rsid w:val="003A2008"/>
    <w:rsid w:val="003A2A22"/>
    <w:rsid w:val="003A3252"/>
    <w:rsid w:val="003A4A1D"/>
    <w:rsid w:val="003A555A"/>
    <w:rsid w:val="003A58A0"/>
    <w:rsid w:val="003A5C86"/>
    <w:rsid w:val="003A5D69"/>
    <w:rsid w:val="003A6BD4"/>
    <w:rsid w:val="003B0BE0"/>
    <w:rsid w:val="003B160A"/>
    <w:rsid w:val="003B1A52"/>
    <w:rsid w:val="003B1ABD"/>
    <w:rsid w:val="003B24CE"/>
    <w:rsid w:val="003B283F"/>
    <w:rsid w:val="003B2A8C"/>
    <w:rsid w:val="003B2CB3"/>
    <w:rsid w:val="003B2E0B"/>
    <w:rsid w:val="003B3166"/>
    <w:rsid w:val="003B3238"/>
    <w:rsid w:val="003B3C04"/>
    <w:rsid w:val="003B4A5B"/>
    <w:rsid w:val="003B4B94"/>
    <w:rsid w:val="003B5742"/>
    <w:rsid w:val="003B5BE5"/>
    <w:rsid w:val="003B7439"/>
    <w:rsid w:val="003B76E4"/>
    <w:rsid w:val="003B7707"/>
    <w:rsid w:val="003B791B"/>
    <w:rsid w:val="003B796C"/>
    <w:rsid w:val="003C0093"/>
    <w:rsid w:val="003C03A0"/>
    <w:rsid w:val="003C1089"/>
    <w:rsid w:val="003C202E"/>
    <w:rsid w:val="003C219C"/>
    <w:rsid w:val="003C2369"/>
    <w:rsid w:val="003C256D"/>
    <w:rsid w:val="003C44DB"/>
    <w:rsid w:val="003C50AD"/>
    <w:rsid w:val="003C645D"/>
    <w:rsid w:val="003C651C"/>
    <w:rsid w:val="003C6969"/>
    <w:rsid w:val="003C7760"/>
    <w:rsid w:val="003C790C"/>
    <w:rsid w:val="003D0089"/>
    <w:rsid w:val="003D0629"/>
    <w:rsid w:val="003D0B14"/>
    <w:rsid w:val="003D0FC6"/>
    <w:rsid w:val="003D1EAE"/>
    <w:rsid w:val="003D278F"/>
    <w:rsid w:val="003D2E1B"/>
    <w:rsid w:val="003D2EC5"/>
    <w:rsid w:val="003D45CC"/>
    <w:rsid w:val="003D4D7F"/>
    <w:rsid w:val="003D59F2"/>
    <w:rsid w:val="003D5AD1"/>
    <w:rsid w:val="003D66C4"/>
    <w:rsid w:val="003D67F2"/>
    <w:rsid w:val="003D7135"/>
    <w:rsid w:val="003D72DC"/>
    <w:rsid w:val="003D7506"/>
    <w:rsid w:val="003D7DC2"/>
    <w:rsid w:val="003E02B0"/>
    <w:rsid w:val="003E35EA"/>
    <w:rsid w:val="003E424D"/>
    <w:rsid w:val="003E4E8F"/>
    <w:rsid w:val="003E5B90"/>
    <w:rsid w:val="003E600A"/>
    <w:rsid w:val="003E6F36"/>
    <w:rsid w:val="003F0127"/>
    <w:rsid w:val="003F0333"/>
    <w:rsid w:val="003F0690"/>
    <w:rsid w:val="003F0E85"/>
    <w:rsid w:val="003F12D0"/>
    <w:rsid w:val="003F177C"/>
    <w:rsid w:val="003F227C"/>
    <w:rsid w:val="003F247A"/>
    <w:rsid w:val="003F2703"/>
    <w:rsid w:val="003F3A74"/>
    <w:rsid w:val="003F3E48"/>
    <w:rsid w:val="003F517D"/>
    <w:rsid w:val="003F6D93"/>
    <w:rsid w:val="003F73F5"/>
    <w:rsid w:val="003F7402"/>
    <w:rsid w:val="003F7FFC"/>
    <w:rsid w:val="00400335"/>
    <w:rsid w:val="00400672"/>
    <w:rsid w:val="00400C9C"/>
    <w:rsid w:val="00400CBA"/>
    <w:rsid w:val="00400E85"/>
    <w:rsid w:val="00401336"/>
    <w:rsid w:val="00401461"/>
    <w:rsid w:val="00401910"/>
    <w:rsid w:val="0040231C"/>
    <w:rsid w:val="00402BBD"/>
    <w:rsid w:val="00403301"/>
    <w:rsid w:val="00403EF1"/>
    <w:rsid w:val="00404B7E"/>
    <w:rsid w:val="00404F75"/>
    <w:rsid w:val="00405D48"/>
    <w:rsid w:val="004060AF"/>
    <w:rsid w:val="00406263"/>
    <w:rsid w:val="00406B83"/>
    <w:rsid w:val="00407089"/>
    <w:rsid w:val="00407161"/>
    <w:rsid w:val="0040726B"/>
    <w:rsid w:val="004077A2"/>
    <w:rsid w:val="00410552"/>
    <w:rsid w:val="004108CF"/>
    <w:rsid w:val="004114C3"/>
    <w:rsid w:val="00411615"/>
    <w:rsid w:val="00412FB9"/>
    <w:rsid w:val="004146BC"/>
    <w:rsid w:val="0041489E"/>
    <w:rsid w:val="00414F4F"/>
    <w:rsid w:val="00415357"/>
    <w:rsid w:val="0041535A"/>
    <w:rsid w:val="004159F4"/>
    <w:rsid w:val="00416028"/>
    <w:rsid w:val="00416E5D"/>
    <w:rsid w:val="0041703F"/>
    <w:rsid w:val="00417656"/>
    <w:rsid w:val="0042009B"/>
    <w:rsid w:val="00420EB3"/>
    <w:rsid w:val="004210C3"/>
    <w:rsid w:val="00421318"/>
    <w:rsid w:val="00421AF5"/>
    <w:rsid w:val="00421EF5"/>
    <w:rsid w:val="0042258B"/>
    <w:rsid w:val="0042277E"/>
    <w:rsid w:val="00422CBA"/>
    <w:rsid w:val="0042386E"/>
    <w:rsid w:val="00423D27"/>
    <w:rsid w:val="004240DF"/>
    <w:rsid w:val="004252EF"/>
    <w:rsid w:val="004254B4"/>
    <w:rsid w:val="00425B13"/>
    <w:rsid w:val="00426773"/>
    <w:rsid w:val="00426C9E"/>
    <w:rsid w:val="0042778A"/>
    <w:rsid w:val="004279AB"/>
    <w:rsid w:val="00427F50"/>
    <w:rsid w:val="004306D3"/>
    <w:rsid w:val="00430A92"/>
    <w:rsid w:val="00430F12"/>
    <w:rsid w:val="00430F48"/>
    <w:rsid w:val="00431CD4"/>
    <w:rsid w:val="004321EC"/>
    <w:rsid w:val="00432520"/>
    <w:rsid w:val="004326C6"/>
    <w:rsid w:val="00432CBA"/>
    <w:rsid w:val="004336D0"/>
    <w:rsid w:val="00433A92"/>
    <w:rsid w:val="00433B3E"/>
    <w:rsid w:val="0043525B"/>
    <w:rsid w:val="00435EE5"/>
    <w:rsid w:val="00436400"/>
    <w:rsid w:val="00436DD9"/>
    <w:rsid w:val="00437548"/>
    <w:rsid w:val="00437A6B"/>
    <w:rsid w:val="00437A94"/>
    <w:rsid w:val="0044060C"/>
    <w:rsid w:val="00440DF2"/>
    <w:rsid w:val="004416F3"/>
    <w:rsid w:val="00441A99"/>
    <w:rsid w:val="004420E9"/>
    <w:rsid w:val="00443B64"/>
    <w:rsid w:val="00443F64"/>
    <w:rsid w:val="00445721"/>
    <w:rsid w:val="00445AF6"/>
    <w:rsid w:val="00445D44"/>
    <w:rsid w:val="00445D4E"/>
    <w:rsid w:val="00446C4C"/>
    <w:rsid w:val="00446CBD"/>
    <w:rsid w:val="004470C1"/>
    <w:rsid w:val="004476D0"/>
    <w:rsid w:val="00447782"/>
    <w:rsid w:val="00450080"/>
    <w:rsid w:val="00450554"/>
    <w:rsid w:val="0045077F"/>
    <w:rsid w:val="00450B73"/>
    <w:rsid w:val="00450C49"/>
    <w:rsid w:val="004520C2"/>
    <w:rsid w:val="00452489"/>
    <w:rsid w:val="004527B1"/>
    <w:rsid w:val="00452900"/>
    <w:rsid w:val="004548E9"/>
    <w:rsid w:val="00454C85"/>
    <w:rsid w:val="0045529D"/>
    <w:rsid w:val="00455983"/>
    <w:rsid w:val="004559F9"/>
    <w:rsid w:val="00455AAF"/>
    <w:rsid w:val="00455D4E"/>
    <w:rsid w:val="00456B5D"/>
    <w:rsid w:val="0045732E"/>
    <w:rsid w:val="00460BE6"/>
    <w:rsid w:val="00460E2A"/>
    <w:rsid w:val="00461427"/>
    <w:rsid w:val="004621D7"/>
    <w:rsid w:val="0046293B"/>
    <w:rsid w:val="00463A3D"/>
    <w:rsid w:val="00463CF4"/>
    <w:rsid w:val="00463D10"/>
    <w:rsid w:val="00464070"/>
    <w:rsid w:val="00464427"/>
    <w:rsid w:val="00465777"/>
    <w:rsid w:val="004660AE"/>
    <w:rsid w:val="00466608"/>
    <w:rsid w:val="004676B3"/>
    <w:rsid w:val="00467BB3"/>
    <w:rsid w:val="00472549"/>
    <w:rsid w:val="00472B90"/>
    <w:rsid w:val="00472B9A"/>
    <w:rsid w:val="004735BE"/>
    <w:rsid w:val="0047376C"/>
    <w:rsid w:val="00473C68"/>
    <w:rsid w:val="004748CF"/>
    <w:rsid w:val="00474BC1"/>
    <w:rsid w:val="00474D76"/>
    <w:rsid w:val="0047684B"/>
    <w:rsid w:val="00476CAB"/>
    <w:rsid w:val="00476D32"/>
    <w:rsid w:val="004773B2"/>
    <w:rsid w:val="004775AB"/>
    <w:rsid w:val="0047799E"/>
    <w:rsid w:val="004779AD"/>
    <w:rsid w:val="004810E8"/>
    <w:rsid w:val="00481FB5"/>
    <w:rsid w:val="004825C7"/>
    <w:rsid w:val="004826D0"/>
    <w:rsid w:val="00482B6F"/>
    <w:rsid w:val="004839CB"/>
    <w:rsid w:val="00486347"/>
    <w:rsid w:val="00486B60"/>
    <w:rsid w:val="004875AC"/>
    <w:rsid w:val="00487962"/>
    <w:rsid w:val="0049059B"/>
    <w:rsid w:val="00490D5A"/>
    <w:rsid w:val="00491135"/>
    <w:rsid w:val="004922FC"/>
    <w:rsid w:val="004923C4"/>
    <w:rsid w:val="00492B61"/>
    <w:rsid w:val="00492DEB"/>
    <w:rsid w:val="0049322B"/>
    <w:rsid w:val="0049447A"/>
    <w:rsid w:val="00495D10"/>
    <w:rsid w:val="00495F0D"/>
    <w:rsid w:val="00496A59"/>
    <w:rsid w:val="004973F2"/>
    <w:rsid w:val="004976AD"/>
    <w:rsid w:val="00497E0C"/>
    <w:rsid w:val="004A0032"/>
    <w:rsid w:val="004A01FF"/>
    <w:rsid w:val="004A1B25"/>
    <w:rsid w:val="004A1C19"/>
    <w:rsid w:val="004A23DD"/>
    <w:rsid w:val="004A34AF"/>
    <w:rsid w:val="004A3792"/>
    <w:rsid w:val="004A38B7"/>
    <w:rsid w:val="004A3A35"/>
    <w:rsid w:val="004A4F74"/>
    <w:rsid w:val="004A5201"/>
    <w:rsid w:val="004A567E"/>
    <w:rsid w:val="004A5DC1"/>
    <w:rsid w:val="004A643F"/>
    <w:rsid w:val="004A7571"/>
    <w:rsid w:val="004A7C4C"/>
    <w:rsid w:val="004A7CFD"/>
    <w:rsid w:val="004B02A3"/>
    <w:rsid w:val="004B0790"/>
    <w:rsid w:val="004B15B3"/>
    <w:rsid w:val="004B16C2"/>
    <w:rsid w:val="004B2408"/>
    <w:rsid w:val="004B29AC"/>
    <w:rsid w:val="004B2FC9"/>
    <w:rsid w:val="004B37C0"/>
    <w:rsid w:val="004B3C12"/>
    <w:rsid w:val="004B3D51"/>
    <w:rsid w:val="004B4045"/>
    <w:rsid w:val="004B41B4"/>
    <w:rsid w:val="004B42AE"/>
    <w:rsid w:val="004B4857"/>
    <w:rsid w:val="004B4C25"/>
    <w:rsid w:val="004B575F"/>
    <w:rsid w:val="004B5F3C"/>
    <w:rsid w:val="004B61B7"/>
    <w:rsid w:val="004B66AB"/>
    <w:rsid w:val="004C00E3"/>
    <w:rsid w:val="004C1D4C"/>
    <w:rsid w:val="004C1DEC"/>
    <w:rsid w:val="004C29B5"/>
    <w:rsid w:val="004C2EE5"/>
    <w:rsid w:val="004C3189"/>
    <w:rsid w:val="004C31E7"/>
    <w:rsid w:val="004C3C6A"/>
    <w:rsid w:val="004C3CE1"/>
    <w:rsid w:val="004C64C9"/>
    <w:rsid w:val="004C6556"/>
    <w:rsid w:val="004C6CB6"/>
    <w:rsid w:val="004C70A4"/>
    <w:rsid w:val="004C7B37"/>
    <w:rsid w:val="004D0172"/>
    <w:rsid w:val="004D0940"/>
    <w:rsid w:val="004D2201"/>
    <w:rsid w:val="004D2A2F"/>
    <w:rsid w:val="004D2EC9"/>
    <w:rsid w:val="004D384B"/>
    <w:rsid w:val="004D3F0D"/>
    <w:rsid w:val="004D42F9"/>
    <w:rsid w:val="004D43A0"/>
    <w:rsid w:val="004D46EC"/>
    <w:rsid w:val="004D47BA"/>
    <w:rsid w:val="004D49CF"/>
    <w:rsid w:val="004D4CDB"/>
    <w:rsid w:val="004D5314"/>
    <w:rsid w:val="004D574A"/>
    <w:rsid w:val="004D691B"/>
    <w:rsid w:val="004D719A"/>
    <w:rsid w:val="004E06F0"/>
    <w:rsid w:val="004E0E9D"/>
    <w:rsid w:val="004E15D9"/>
    <w:rsid w:val="004E1621"/>
    <w:rsid w:val="004E1FFA"/>
    <w:rsid w:val="004E2F23"/>
    <w:rsid w:val="004E329C"/>
    <w:rsid w:val="004E43AD"/>
    <w:rsid w:val="004E458A"/>
    <w:rsid w:val="004E4BFB"/>
    <w:rsid w:val="004E4E91"/>
    <w:rsid w:val="004E525A"/>
    <w:rsid w:val="004E5896"/>
    <w:rsid w:val="004E58BC"/>
    <w:rsid w:val="004E5CC3"/>
    <w:rsid w:val="004E5F38"/>
    <w:rsid w:val="004E6925"/>
    <w:rsid w:val="004E6B86"/>
    <w:rsid w:val="004E70EA"/>
    <w:rsid w:val="004F03EC"/>
    <w:rsid w:val="004F04CA"/>
    <w:rsid w:val="004F0DF3"/>
    <w:rsid w:val="004F1005"/>
    <w:rsid w:val="004F153B"/>
    <w:rsid w:val="004F1FF4"/>
    <w:rsid w:val="004F2DC4"/>
    <w:rsid w:val="004F3404"/>
    <w:rsid w:val="004F5B53"/>
    <w:rsid w:val="004F63B2"/>
    <w:rsid w:val="004F6C9E"/>
    <w:rsid w:val="004F6F3F"/>
    <w:rsid w:val="004F7C1D"/>
    <w:rsid w:val="00500729"/>
    <w:rsid w:val="00500E39"/>
    <w:rsid w:val="00500EB9"/>
    <w:rsid w:val="00501E46"/>
    <w:rsid w:val="00501F74"/>
    <w:rsid w:val="005022D2"/>
    <w:rsid w:val="00503250"/>
    <w:rsid w:val="00504229"/>
    <w:rsid w:val="005043BA"/>
    <w:rsid w:val="005049D3"/>
    <w:rsid w:val="00504B85"/>
    <w:rsid w:val="00507950"/>
    <w:rsid w:val="00507BAA"/>
    <w:rsid w:val="00511913"/>
    <w:rsid w:val="005133F7"/>
    <w:rsid w:val="005147E8"/>
    <w:rsid w:val="00515612"/>
    <w:rsid w:val="0051610D"/>
    <w:rsid w:val="0051615F"/>
    <w:rsid w:val="00516A20"/>
    <w:rsid w:val="00516EC7"/>
    <w:rsid w:val="00517B6B"/>
    <w:rsid w:val="00520B00"/>
    <w:rsid w:val="00520FC9"/>
    <w:rsid w:val="005227CC"/>
    <w:rsid w:val="005230C3"/>
    <w:rsid w:val="00523BA0"/>
    <w:rsid w:val="005241CE"/>
    <w:rsid w:val="00524B80"/>
    <w:rsid w:val="00525F84"/>
    <w:rsid w:val="0052630F"/>
    <w:rsid w:val="0052655E"/>
    <w:rsid w:val="00527212"/>
    <w:rsid w:val="0053035B"/>
    <w:rsid w:val="005307EA"/>
    <w:rsid w:val="00530AB0"/>
    <w:rsid w:val="00531280"/>
    <w:rsid w:val="00531736"/>
    <w:rsid w:val="0053259A"/>
    <w:rsid w:val="00532705"/>
    <w:rsid w:val="00532D96"/>
    <w:rsid w:val="00533B65"/>
    <w:rsid w:val="00533D0A"/>
    <w:rsid w:val="00533EA9"/>
    <w:rsid w:val="00534B8A"/>
    <w:rsid w:val="00534F78"/>
    <w:rsid w:val="005355B7"/>
    <w:rsid w:val="00535A1C"/>
    <w:rsid w:val="00535B59"/>
    <w:rsid w:val="0053679F"/>
    <w:rsid w:val="0053715C"/>
    <w:rsid w:val="0053792F"/>
    <w:rsid w:val="005401C6"/>
    <w:rsid w:val="00540364"/>
    <w:rsid w:val="0054037A"/>
    <w:rsid w:val="00540E3D"/>
    <w:rsid w:val="00540F70"/>
    <w:rsid w:val="00541118"/>
    <w:rsid w:val="00542654"/>
    <w:rsid w:val="005427CB"/>
    <w:rsid w:val="00542ADA"/>
    <w:rsid w:val="00542EB8"/>
    <w:rsid w:val="005432DF"/>
    <w:rsid w:val="00543551"/>
    <w:rsid w:val="005458D8"/>
    <w:rsid w:val="00545CE9"/>
    <w:rsid w:val="00545CFE"/>
    <w:rsid w:val="00545FD1"/>
    <w:rsid w:val="005461DD"/>
    <w:rsid w:val="0054647E"/>
    <w:rsid w:val="005473FC"/>
    <w:rsid w:val="00550BDF"/>
    <w:rsid w:val="005512D1"/>
    <w:rsid w:val="00551FF5"/>
    <w:rsid w:val="00552142"/>
    <w:rsid w:val="005529C2"/>
    <w:rsid w:val="00553926"/>
    <w:rsid w:val="00553A77"/>
    <w:rsid w:val="00553FF3"/>
    <w:rsid w:val="00554730"/>
    <w:rsid w:val="0055495F"/>
    <w:rsid w:val="00554B30"/>
    <w:rsid w:val="005555C1"/>
    <w:rsid w:val="005557C1"/>
    <w:rsid w:val="00555EAE"/>
    <w:rsid w:val="005571A6"/>
    <w:rsid w:val="0055761C"/>
    <w:rsid w:val="00557696"/>
    <w:rsid w:val="00557B2B"/>
    <w:rsid w:val="00557DBF"/>
    <w:rsid w:val="005600F9"/>
    <w:rsid w:val="005610F1"/>
    <w:rsid w:val="005611CF"/>
    <w:rsid w:val="00561936"/>
    <w:rsid w:val="00563367"/>
    <w:rsid w:val="00564319"/>
    <w:rsid w:val="00564C84"/>
    <w:rsid w:val="0056507F"/>
    <w:rsid w:val="00565D1F"/>
    <w:rsid w:val="00566D06"/>
    <w:rsid w:val="00567BD1"/>
    <w:rsid w:val="00567D79"/>
    <w:rsid w:val="005701C7"/>
    <w:rsid w:val="005708F5"/>
    <w:rsid w:val="00570D48"/>
    <w:rsid w:val="0057104D"/>
    <w:rsid w:val="00571B21"/>
    <w:rsid w:val="005721F5"/>
    <w:rsid w:val="00573238"/>
    <w:rsid w:val="00573750"/>
    <w:rsid w:val="00573815"/>
    <w:rsid w:val="00574E4F"/>
    <w:rsid w:val="0057637C"/>
    <w:rsid w:val="00576EB6"/>
    <w:rsid w:val="0057706F"/>
    <w:rsid w:val="00577E9A"/>
    <w:rsid w:val="00580277"/>
    <w:rsid w:val="00580399"/>
    <w:rsid w:val="005807AA"/>
    <w:rsid w:val="00580DFE"/>
    <w:rsid w:val="00581E60"/>
    <w:rsid w:val="00582B69"/>
    <w:rsid w:val="005832C0"/>
    <w:rsid w:val="00584221"/>
    <w:rsid w:val="00584791"/>
    <w:rsid w:val="0058543C"/>
    <w:rsid w:val="0058695D"/>
    <w:rsid w:val="005871BB"/>
    <w:rsid w:val="005908A2"/>
    <w:rsid w:val="00590B88"/>
    <w:rsid w:val="00590E35"/>
    <w:rsid w:val="005916F9"/>
    <w:rsid w:val="00591ADE"/>
    <w:rsid w:val="00591BBC"/>
    <w:rsid w:val="00591DD9"/>
    <w:rsid w:val="0059241C"/>
    <w:rsid w:val="00592FA1"/>
    <w:rsid w:val="005939BF"/>
    <w:rsid w:val="00593FAA"/>
    <w:rsid w:val="00594232"/>
    <w:rsid w:val="00594317"/>
    <w:rsid w:val="005947FD"/>
    <w:rsid w:val="0059525B"/>
    <w:rsid w:val="0059526E"/>
    <w:rsid w:val="0059625F"/>
    <w:rsid w:val="00596895"/>
    <w:rsid w:val="00597AD8"/>
    <w:rsid w:val="005A056E"/>
    <w:rsid w:val="005A0FFF"/>
    <w:rsid w:val="005A1110"/>
    <w:rsid w:val="005A3370"/>
    <w:rsid w:val="005A34C7"/>
    <w:rsid w:val="005A530D"/>
    <w:rsid w:val="005A5546"/>
    <w:rsid w:val="005A56C9"/>
    <w:rsid w:val="005A5B31"/>
    <w:rsid w:val="005A684B"/>
    <w:rsid w:val="005A6E55"/>
    <w:rsid w:val="005A6E93"/>
    <w:rsid w:val="005A7D08"/>
    <w:rsid w:val="005B0415"/>
    <w:rsid w:val="005B054A"/>
    <w:rsid w:val="005B06BD"/>
    <w:rsid w:val="005B1618"/>
    <w:rsid w:val="005B17BC"/>
    <w:rsid w:val="005B1CA1"/>
    <w:rsid w:val="005B1D24"/>
    <w:rsid w:val="005B258C"/>
    <w:rsid w:val="005B2862"/>
    <w:rsid w:val="005B4742"/>
    <w:rsid w:val="005B4AAC"/>
    <w:rsid w:val="005B538C"/>
    <w:rsid w:val="005B58CD"/>
    <w:rsid w:val="005B5EE5"/>
    <w:rsid w:val="005B67CB"/>
    <w:rsid w:val="005B6B9E"/>
    <w:rsid w:val="005B6DB8"/>
    <w:rsid w:val="005B70DF"/>
    <w:rsid w:val="005B726D"/>
    <w:rsid w:val="005B76FD"/>
    <w:rsid w:val="005B7A45"/>
    <w:rsid w:val="005C05C8"/>
    <w:rsid w:val="005C0B42"/>
    <w:rsid w:val="005C1424"/>
    <w:rsid w:val="005C1B5A"/>
    <w:rsid w:val="005C1F21"/>
    <w:rsid w:val="005C2A89"/>
    <w:rsid w:val="005C2AE4"/>
    <w:rsid w:val="005C314A"/>
    <w:rsid w:val="005C3B5E"/>
    <w:rsid w:val="005C4065"/>
    <w:rsid w:val="005C425F"/>
    <w:rsid w:val="005C47DF"/>
    <w:rsid w:val="005C4EB7"/>
    <w:rsid w:val="005C4EDA"/>
    <w:rsid w:val="005C53AD"/>
    <w:rsid w:val="005C5754"/>
    <w:rsid w:val="005C6116"/>
    <w:rsid w:val="005C640B"/>
    <w:rsid w:val="005C6449"/>
    <w:rsid w:val="005C6469"/>
    <w:rsid w:val="005C68E7"/>
    <w:rsid w:val="005C6CAC"/>
    <w:rsid w:val="005C6D10"/>
    <w:rsid w:val="005C7934"/>
    <w:rsid w:val="005C7C4D"/>
    <w:rsid w:val="005D049E"/>
    <w:rsid w:val="005D0503"/>
    <w:rsid w:val="005D2414"/>
    <w:rsid w:val="005D29C7"/>
    <w:rsid w:val="005D3A1F"/>
    <w:rsid w:val="005D3DCD"/>
    <w:rsid w:val="005D45B1"/>
    <w:rsid w:val="005D47A6"/>
    <w:rsid w:val="005D4A72"/>
    <w:rsid w:val="005D5829"/>
    <w:rsid w:val="005D5E51"/>
    <w:rsid w:val="005D5FE3"/>
    <w:rsid w:val="005D60AF"/>
    <w:rsid w:val="005D61E9"/>
    <w:rsid w:val="005D6603"/>
    <w:rsid w:val="005D6F8C"/>
    <w:rsid w:val="005D7C8C"/>
    <w:rsid w:val="005E0600"/>
    <w:rsid w:val="005E0AFC"/>
    <w:rsid w:val="005E11BD"/>
    <w:rsid w:val="005E2931"/>
    <w:rsid w:val="005E2F49"/>
    <w:rsid w:val="005E42CF"/>
    <w:rsid w:val="005E66DE"/>
    <w:rsid w:val="005E6E50"/>
    <w:rsid w:val="005E70F9"/>
    <w:rsid w:val="005E75DF"/>
    <w:rsid w:val="005E76B6"/>
    <w:rsid w:val="005E7E6D"/>
    <w:rsid w:val="005F03A3"/>
    <w:rsid w:val="005F0E18"/>
    <w:rsid w:val="005F2FD2"/>
    <w:rsid w:val="005F382F"/>
    <w:rsid w:val="005F3BD8"/>
    <w:rsid w:val="005F3C73"/>
    <w:rsid w:val="005F546F"/>
    <w:rsid w:val="005F6226"/>
    <w:rsid w:val="005F62DF"/>
    <w:rsid w:val="005F6320"/>
    <w:rsid w:val="005F6CD5"/>
    <w:rsid w:val="005F6DBA"/>
    <w:rsid w:val="005F7012"/>
    <w:rsid w:val="005F79FA"/>
    <w:rsid w:val="005F7C7A"/>
    <w:rsid w:val="0060051C"/>
    <w:rsid w:val="00600B92"/>
    <w:rsid w:val="00601E06"/>
    <w:rsid w:val="0060266C"/>
    <w:rsid w:val="00603BE4"/>
    <w:rsid w:val="00603E34"/>
    <w:rsid w:val="00604995"/>
    <w:rsid w:val="006054C0"/>
    <w:rsid w:val="006062DE"/>
    <w:rsid w:val="00606C86"/>
    <w:rsid w:val="00606E73"/>
    <w:rsid w:val="00607569"/>
    <w:rsid w:val="00607E48"/>
    <w:rsid w:val="0061047E"/>
    <w:rsid w:val="00610A35"/>
    <w:rsid w:val="00612807"/>
    <w:rsid w:val="006132FE"/>
    <w:rsid w:val="00613DC2"/>
    <w:rsid w:val="0061408C"/>
    <w:rsid w:val="00614487"/>
    <w:rsid w:val="00614723"/>
    <w:rsid w:val="00614A9E"/>
    <w:rsid w:val="006152B6"/>
    <w:rsid w:val="00615318"/>
    <w:rsid w:val="00615426"/>
    <w:rsid w:val="006159A7"/>
    <w:rsid w:val="006165AF"/>
    <w:rsid w:val="00616E47"/>
    <w:rsid w:val="0061715F"/>
    <w:rsid w:val="00617811"/>
    <w:rsid w:val="00620103"/>
    <w:rsid w:val="00620286"/>
    <w:rsid w:val="0062124E"/>
    <w:rsid w:val="00621609"/>
    <w:rsid w:val="006224E3"/>
    <w:rsid w:val="00623822"/>
    <w:rsid w:val="006246CF"/>
    <w:rsid w:val="006249D6"/>
    <w:rsid w:val="00624A06"/>
    <w:rsid w:val="006255E7"/>
    <w:rsid w:val="00626753"/>
    <w:rsid w:val="00626CEF"/>
    <w:rsid w:val="00626CF2"/>
    <w:rsid w:val="00626F73"/>
    <w:rsid w:val="0062749D"/>
    <w:rsid w:val="006313DD"/>
    <w:rsid w:val="006325DE"/>
    <w:rsid w:val="0063268B"/>
    <w:rsid w:val="00633D8F"/>
    <w:rsid w:val="006344CE"/>
    <w:rsid w:val="006346D3"/>
    <w:rsid w:val="00634A11"/>
    <w:rsid w:val="00635522"/>
    <w:rsid w:val="00635970"/>
    <w:rsid w:val="00635ADC"/>
    <w:rsid w:val="006362F5"/>
    <w:rsid w:val="006378D1"/>
    <w:rsid w:val="00637E81"/>
    <w:rsid w:val="00637FD6"/>
    <w:rsid w:val="00640CB7"/>
    <w:rsid w:val="00641063"/>
    <w:rsid w:val="00641F5B"/>
    <w:rsid w:val="00642265"/>
    <w:rsid w:val="0064242A"/>
    <w:rsid w:val="00642DD5"/>
    <w:rsid w:val="0064396C"/>
    <w:rsid w:val="0064400C"/>
    <w:rsid w:val="006441A9"/>
    <w:rsid w:val="0064434F"/>
    <w:rsid w:val="00644C9C"/>
    <w:rsid w:val="006453B2"/>
    <w:rsid w:val="00645F1E"/>
    <w:rsid w:val="00647BF3"/>
    <w:rsid w:val="006509DF"/>
    <w:rsid w:val="006515BC"/>
    <w:rsid w:val="006529F6"/>
    <w:rsid w:val="00652AC7"/>
    <w:rsid w:val="00652BEF"/>
    <w:rsid w:val="00653113"/>
    <w:rsid w:val="006531BC"/>
    <w:rsid w:val="00653F14"/>
    <w:rsid w:val="00654AFA"/>
    <w:rsid w:val="00654F5F"/>
    <w:rsid w:val="0065533C"/>
    <w:rsid w:val="006555EC"/>
    <w:rsid w:val="00655998"/>
    <w:rsid w:val="00656CD6"/>
    <w:rsid w:val="0066010A"/>
    <w:rsid w:val="006602EF"/>
    <w:rsid w:val="006616A9"/>
    <w:rsid w:val="00662478"/>
    <w:rsid w:val="00662696"/>
    <w:rsid w:val="0066288B"/>
    <w:rsid w:val="006632A6"/>
    <w:rsid w:val="00663A1C"/>
    <w:rsid w:val="00663D47"/>
    <w:rsid w:val="006644EE"/>
    <w:rsid w:val="00665206"/>
    <w:rsid w:val="0066531F"/>
    <w:rsid w:val="00665C87"/>
    <w:rsid w:val="00667218"/>
    <w:rsid w:val="0066725F"/>
    <w:rsid w:val="006675FC"/>
    <w:rsid w:val="00670190"/>
    <w:rsid w:val="0067029D"/>
    <w:rsid w:val="00670EFF"/>
    <w:rsid w:val="00671295"/>
    <w:rsid w:val="00672935"/>
    <w:rsid w:val="00672F06"/>
    <w:rsid w:val="006733A1"/>
    <w:rsid w:val="00675884"/>
    <w:rsid w:val="00675A69"/>
    <w:rsid w:val="00675BC5"/>
    <w:rsid w:val="00676066"/>
    <w:rsid w:val="0067606D"/>
    <w:rsid w:val="0067616F"/>
    <w:rsid w:val="00677035"/>
    <w:rsid w:val="00677B79"/>
    <w:rsid w:val="00677DBE"/>
    <w:rsid w:val="00680D5C"/>
    <w:rsid w:val="006832CD"/>
    <w:rsid w:val="00683950"/>
    <w:rsid w:val="00683A5A"/>
    <w:rsid w:val="00683AB5"/>
    <w:rsid w:val="00683AF2"/>
    <w:rsid w:val="00683C74"/>
    <w:rsid w:val="0068477D"/>
    <w:rsid w:val="006848AC"/>
    <w:rsid w:val="00684DB4"/>
    <w:rsid w:val="00684EF3"/>
    <w:rsid w:val="00684F70"/>
    <w:rsid w:val="0068633D"/>
    <w:rsid w:val="00686721"/>
    <w:rsid w:val="00687645"/>
    <w:rsid w:val="00687988"/>
    <w:rsid w:val="00687B34"/>
    <w:rsid w:val="00687DC4"/>
    <w:rsid w:val="00687EB1"/>
    <w:rsid w:val="0069044F"/>
    <w:rsid w:val="00690C73"/>
    <w:rsid w:val="0069194B"/>
    <w:rsid w:val="00691DEC"/>
    <w:rsid w:val="00692218"/>
    <w:rsid w:val="0069260A"/>
    <w:rsid w:val="00692621"/>
    <w:rsid w:val="006934B5"/>
    <w:rsid w:val="00693C02"/>
    <w:rsid w:val="00693E02"/>
    <w:rsid w:val="00694893"/>
    <w:rsid w:val="00695429"/>
    <w:rsid w:val="0069582C"/>
    <w:rsid w:val="00695C40"/>
    <w:rsid w:val="00695FC3"/>
    <w:rsid w:val="00696DEE"/>
    <w:rsid w:val="006976FB"/>
    <w:rsid w:val="006A052A"/>
    <w:rsid w:val="006A0914"/>
    <w:rsid w:val="006A091C"/>
    <w:rsid w:val="006A0E40"/>
    <w:rsid w:val="006A1296"/>
    <w:rsid w:val="006A1370"/>
    <w:rsid w:val="006A1785"/>
    <w:rsid w:val="006A1C40"/>
    <w:rsid w:val="006A1F06"/>
    <w:rsid w:val="006A2BA1"/>
    <w:rsid w:val="006A2D07"/>
    <w:rsid w:val="006A392A"/>
    <w:rsid w:val="006A3B1F"/>
    <w:rsid w:val="006A442F"/>
    <w:rsid w:val="006A4455"/>
    <w:rsid w:val="006A54FA"/>
    <w:rsid w:val="006A63FB"/>
    <w:rsid w:val="006A65EA"/>
    <w:rsid w:val="006A79E8"/>
    <w:rsid w:val="006A7B3A"/>
    <w:rsid w:val="006B0339"/>
    <w:rsid w:val="006B0F9D"/>
    <w:rsid w:val="006B1CC6"/>
    <w:rsid w:val="006B2039"/>
    <w:rsid w:val="006B46E3"/>
    <w:rsid w:val="006B4F98"/>
    <w:rsid w:val="006B545A"/>
    <w:rsid w:val="006B5554"/>
    <w:rsid w:val="006B5CE5"/>
    <w:rsid w:val="006B6314"/>
    <w:rsid w:val="006B705E"/>
    <w:rsid w:val="006C05E4"/>
    <w:rsid w:val="006C1006"/>
    <w:rsid w:val="006C157B"/>
    <w:rsid w:val="006C190F"/>
    <w:rsid w:val="006C1B0D"/>
    <w:rsid w:val="006C1B5E"/>
    <w:rsid w:val="006C27FD"/>
    <w:rsid w:val="006C283B"/>
    <w:rsid w:val="006C2B36"/>
    <w:rsid w:val="006C2E48"/>
    <w:rsid w:val="006C33D7"/>
    <w:rsid w:val="006C35B9"/>
    <w:rsid w:val="006C3DAD"/>
    <w:rsid w:val="006C3F0B"/>
    <w:rsid w:val="006C3F39"/>
    <w:rsid w:val="006C48CC"/>
    <w:rsid w:val="006C4BC3"/>
    <w:rsid w:val="006C4D12"/>
    <w:rsid w:val="006C50D1"/>
    <w:rsid w:val="006C581A"/>
    <w:rsid w:val="006C5AAC"/>
    <w:rsid w:val="006C5FAC"/>
    <w:rsid w:val="006C6D8C"/>
    <w:rsid w:val="006C750D"/>
    <w:rsid w:val="006C7791"/>
    <w:rsid w:val="006D0D77"/>
    <w:rsid w:val="006D161C"/>
    <w:rsid w:val="006D2302"/>
    <w:rsid w:val="006D31C0"/>
    <w:rsid w:val="006D3872"/>
    <w:rsid w:val="006D3FFB"/>
    <w:rsid w:val="006D45EB"/>
    <w:rsid w:val="006D492F"/>
    <w:rsid w:val="006D49CF"/>
    <w:rsid w:val="006D5201"/>
    <w:rsid w:val="006D5B7E"/>
    <w:rsid w:val="006D6244"/>
    <w:rsid w:val="006D628D"/>
    <w:rsid w:val="006D6A57"/>
    <w:rsid w:val="006D748B"/>
    <w:rsid w:val="006E06F1"/>
    <w:rsid w:val="006E1FBE"/>
    <w:rsid w:val="006E2047"/>
    <w:rsid w:val="006E2372"/>
    <w:rsid w:val="006E256A"/>
    <w:rsid w:val="006E2785"/>
    <w:rsid w:val="006E2991"/>
    <w:rsid w:val="006E3BD7"/>
    <w:rsid w:val="006E3F22"/>
    <w:rsid w:val="006E4300"/>
    <w:rsid w:val="006E4CAE"/>
    <w:rsid w:val="006E52F5"/>
    <w:rsid w:val="006E655C"/>
    <w:rsid w:val="006E65B8"/>
    <w:rsid w:val="006E7349"/>
    <w:rsid w:val="006E75D8"/>
    <w:rsid w:val="006F08FA"/>
    <w:rsid w:val="006F0C02"/>
    <w:rsid w:val="006F1D1F"/>
    <w:rsid w:val="006F1EE8"/>
    <w:rsid w:val="006F23BD"/>
    <w:rsid w:val="006F2563"/>
    <w:rsid w:val="006F25E5"/>
    <w:rsid w:val="006F29A2"/>
    <w:rsid w:val="006F3D41"/>
    <w:rsid w:val="006F4169"/>
    <w:rsid w:val="006F43EF"/>
    <w:rsid w:val="006F63BC"/>
    <w:rsid w:val="006F66B2"/>
    <w:rsid w:val="006F707F"/>
    <w:rsid w:val="006F7BEB"/>
    <w:rsid w:val="007013D9"/>
    <w:rsid w:val="00701FFE"/>
    <w:rsid w:val="00703CF6"/>
    <w:rsid w:val="0070405C"/>
    <w:rsid w:val="007041CD"/>
    <w:rsid w:val="00704334"/>
    <w:rsid w:val="0070522F"/>
    <w:rsid w:val="00707250"/>
    <w:rsid w:val="007074B9"/>
    <w:rsid w:val="0070755A"/>
    <w:rsid w:val="007076FA"/>
    <w:rsid w:val="007077D3"/>
    <w:rsid w:val="0071012F"/>
    <w:rsid w:val="00710417"/>
    <w:rsid w:val="00711618"/>
    <w:rsid w:val="00711858"/>
    <w:rsid w:val="007123CE"/>
    <w:rsid w:val="00712568"/>
    <w:rsid w:val="00712DCC"/>
    <w:rsid w:val="0071319F"/>
    <w:rsid w:val="00713B3A"/>
    <w:rsid w:val="00714505"/>
    <w:rsid w:val="00714ACE"/>
    <w:rsid w:val="00715655"/>
    <w:rsid w:val="00716264"/>
    <w:rsid w:val="007162AA"/>
    <w:rsid w:val="0071663F"/>
    <w:rsid w:val="00716A5C"/>
    <w:rsid w:val="0072070D"/>
    <w:rsid w:val="00720CCC"/>
    <w:rsid w:val="00721DD8"/>
    <w:rsid w:val="00721E2A"/>
    <w:rsid w:val="007222F4"/>
    <w:rsid w:val="0072434D"/>
    <w:rsid w:val="00724452"/>
    <w:rsid w:val="00724649"/>
    <w:rsid w:val="0072622D"/>
    <w:rsid w:val="00726505"/>
    <w:rsid w:val="007268A2"/>
    <w:rsid w:val="00727A50"/>
    <w:rsid w:val="00727CEA"/>
    <w:rsid w:val="00727F7C"/>
    <w:rsid w:val="007300FE"/>
    <w:rsid w:val="0073034F"/>
    <w:rsid w:val="007303AB"/>
    <w:rsid w:val="007323AC"/>
    <w:rsid w:val="00732CB1"/>
    <w:rsid w:val="007332FD"/>
    <w:rsid w:val="00733D75"/>
    <w:rsid w:val="00733E84"/>
    <w:rsid w:val="00734E7D"/>
    <w:rsid w:val="007351C9"/>
    <w:rsid w:val="007353E0"/>
    <w:rsid w:val="00735A41"/>
    <w:rsid w:val="007374A9"/>
    <w:rsid w:val="00740566"/>
    <w:rsid w:val="00741597"/>
    <w:rsid w:val="00741759"/>
    <w:rsid w:val="00741E48"/>
    <w:rsid w:val="00741F8A"/>
    <w:rsid w:val="0074280E"/>
    <w:rsid w:val="0074330B"/>
    <w:rsid w:val="007436DA"/>
    <w:rsid w:val="00743CDE"/>
    <w:rsid w:val="00745052"/>
    <w:rsid w:val="0074562E"/>
    <w:rsid w:val="00745C55"/>
    <w:rsid w:val="00745E7A"/>
    <w:rsid w:val="007463EC"/>
    <w:rsid w:val="00747F12"/>
    <w:rsid w:val="007514A9"/>
    <w:rsid w:val="00751BF1"/>
    <w:rsid w:val="00753FA6"/>
    <w:rsid w:val="0075408C"/>
    <w:rsid w:val="007540D3"/>
    <w:rsid w:val="00754BB3"/>
    <w:rsid w:val="00754EEC"/>
    <w:rsid w:val="0075521C"/>
    <w:rsid w:val="007553E7"/>
    <w:rsid w:val="007558B7"/>
    <w:rsid w:val="0075663C"/>
    <w:rsid w:val="00757C3D"/>
    <w:rsid w:val="00760462"/>
    <w:rsid w:val="00762063"/>
    <w:rsid w:val="00762285"/>
    <w:rsid w:val="007626C4"/>
    <w:rsid w:val="00762D73"/>
    <w:rsid w:val="0076307C"/>
    <w:rsid w:val="00763E8F"/>
    <w:rsid w:val="00764B07"/>
    <w:rsid w:val="00766E22"/>
    <w:rsid w:val="00766FB8"/>
    <w:rsid w:val="00767298"/>
    <w:rsid w:val="007677CF"/>
    <w:rsid w:val="00767D29"/>
    <w:rsid w:val="007701B4"/>
    <w:rsid w:val="00770698"/>
    <w:rsid w:val="007718AF"/>
    <w:rsid w:val="00771A2D"/>
    <w:rsid w:val="0077393D"/>
    <w:rsid w:val="00774622"/>
    <w:rsid w:val="007747D7"/>
    <w:rsid w:val="007763BF"/>
    <w:rsid w:val="00777139"/>
    <w:rsid w:val="0077756C"/>
    <w:rsid w:val="00777797"/>
    <w:rsid w:val="00777EE1"/>
    <w:rsid w:val="00780183"/>
    <w:rsid w:val="0078027F"/>
    <w:rsid w:val="0078083D"/>
    <w:rsid w:val="00782829"/>
    <w:rsid w:val="0078291E"/>
    <w:rsid w:val="00782A89"/>
    <w:rsid w:val="00782C45"/>
    <w:rsid w:val="0078448F"/>
    <w:rsid w:val="00784811"/>
    <w:rsid w:val="00784C7C"/>
    <w:rsid w:val="00784FAB"/>
    <w:rsid w:val="007859B9"/>
    <w:rsid w:val="007862F4"/>
    <w:rsid w:val="007869E5"/>
    <w:rsid w:val="00786FEE"/>
    <w:rsid w:val="007873F7"/>
    <w:rsid w:val="00787444"/>
    <w:rsid w:val="00787AB7"/>
    <w:rsid w:val="007907F9"/>
    <w:rsid w:val="007908FE"/>
    <w:rsid w:val="00791102"/>
    <w:rsid w:val="00791523"/>
    <w:rsid w:val="007918AF"/>
    <w:rsid w:val="00791AE8"/>
    <w:rsid w:val="007923CE"/>
    <w:rsid w:val="007926A4"/>
    <w:rsid w:val="00792970"/>
    <w:rsid w:val="00792E7F"/>
    <w:rsid w:val="00793055"/>
    <w:rsid w:val="007939BA"/>
    <w:rsid w:val="007946FF"/>
    <w:rsid w:val="00795245"/>
    <w:rsid w:val="00796667"/>
    <w:rsid w:val="00796B03"/>
    <w:rsid w:val="00796ECD"/>
    <w:rsid w:val="00797993"/>
    <w:rsid w:val="00797BB7"/>
    <w:rsid w:val="007A0BF7"/>
    <w:rsid w:val="007A0E41"/>
    <w:rsid w:val="007A0F3A"/>
    <w:rsid w:val="007A18AB"/>
    <w:rsid w:val="007A19F6"/>
    <w:rsid w:val="007A2EDF"/>
    <w:rsid w:val="007A360B"/>
    <w:rsid w:val="007A4135"/>
    <w:rsid w:val="007A4258"/>
    <w:rsid w:val="007A4750"/>
    <w:rsid w:val="007A4D3A"/>
    <w:rsid w:val="007A55AF"/>
    <w:rsid w:val="007A7001"/>
    <w:rsid w:val="007A702D"/>
    <w:rsid w:val="007A73DE"/>
    <w:rsid w:val="007A7CA2"/>
    <w:rsid w:val="007B0915"/>
    <w:rsid w:val="007B09C4"/>
    <w:rsid w:val="007B0C05"/>
    <w:rsid w:val="007B1796"/>
    <w:rsid w:val="007B2DDF"/>
    <w:rsid w:val="007B4469"/>
    <w:rsid w:val="007B4BE4"/>
    <w:rsid w:val="007B4E05"/>
    <w:rsid w:val="007B52F8"/>
    <w:rsid w:val="007B6671"/>
    <w:rsid w:val="007B6B02"/>
    <w:rsid w:val="007B6DD1"/>
    <w:rsid w:val="007B772B"/>
    <w:rsid w:val="007C0A19"/>
    <w:rsid w:val="007C189C"/>
    <w:rsid w:val="007C5116"/>
    <w:rsid w:val="007C559F"/>
    <w:rsid w:val="007C62B6"/>
    <w:rsid w:val="007C6E01"/>
    <w:rsid w:val="007C70D6"/>
    <w:rsid w:val="007C74A2"/>
    <w:rsid w:val="007C7DE4"/>
    <w:rsid w:val="007D0080"/>
    <w:rsid w:val="007D055E"/>
    <w:rsid w:val="007D0610"/>
    <w:rsid w:val="007D076A"/>
    <w:rsid w:val="007D0774"/>
    <w:rsid w:val="007D2450"/>
    <w:rsid w:val="007D3F14"/>
    <w:rsid w:val="007D52A1"/>
    <w:rsid w:val="007D5CDF"/>
    <w:rsid w:val="007D6879"/>
    <w:rsid w:val="007D6E6D"/>
    <w:rsid w:val="007D7589"/>
    <w:rsid w:val="007E18BF"/>
    <w:rsid w:val="007E2161"/>
    <w:rsid w:val="007E3D93"/>
    <w:rsid w:val="007E5125"/>
    <w:rsid w:val="007E682D"/>
    <w:rsid w:val="007E6C4B"/>
    <w:rsid w:val="007E6DD6"/>
    <w:rsid w:val="007F01C3"/>
    <w:rsid w:val="007F02CE"/>
    <w:rsid w:val="007F0547"/>
    <w:rsid w:val="007F0676"/>
    <w:rsid w:val="007F0B54"/>
    <w:rsid w:val="007F0E85"/>
    <w:rsid w:val="007F1996"/>
    <w:rsid w:val="007F2910"/>
    <w:rsid w:val="007F2EEF"/>
    <w:rsid w:val="007F315B"/>
    <w:rsid w:val="007F3E24"/>
    <w:rsid w:val="007F4280"/>
    <w:rsid w:val="007F46AA"/>
    <w:rsid w:val="007F4936"/>
    <w:rsid w:val="007F49E8"/>
    <w:rsid w:val="007F4DB2"/>
    <w:rsid w:val="007F53E5"/>
    <w:rsid w:val="007F558F"/>
    <w:rsid w:val="007F6990"/>
    <w:rsid w:val="007F7206"/>
    <w:rsid w:val="007F759F"/>
    <w:rsid w:val="007F75B2"/>
    <w:rsid w:val="007F7A83"/>
    <w:rsid w:val="007F7AE0"/>
    <w:rsid w:val="008007B2"/>
    <w:rsid w:val="0080398F"/>
    <w:rsid w:val="00803AA6"/>
    <w:rsid w:val="00803E24"/>
    <w:rsid w:val="00803F67"/>
    <w:rsid w:val="00803FB9"/>
    <w:rsid w:val="008041A8"/>
    <w:rsid w:val="008047BF"/>
    <w:rsid w:val="00805A0C"/>
    <w:rsid w:val="00806F52"/>
    <w:rsid w:val="00807D07"/>
    <w:rsid w:val="00810C67"/>
    <w:rsid w:val="008120DD"/>
    <w:rsid w:val="008123FC"/>
    <w:rsid w:val="0081332E"/>
    <w:rsid w:val="0081360C"/>
    <w:rsid w:val="0081371E"/>
    <w:rsid w:val="00813750"/>
    <w:rsid w:val="00813D05"/>
    <w:rsid w:val="00814678"/>
    <w:rsid w:val="008146B8"/>
    <w:rsid w:val="00814AB9"/>
    <w:rsid w:val="008156B6"/>
    <w:rsid w:val="00815C9F"/>
    <w:rsid w:val="00820980"/>
    <w:rsid w:val="00820AF9"/>
    <w:rsid w:val="00820BB8"/>
    <w:rsid w:val="00821B83"/>
    <w:rsid w:val="008223E6"/>
    <w:rsid w:val="00822450"/>
    <w:rsid w:val="00822767"/>
    <w:rsid w:val="00822A25"/>
    <w:rsid w:val="008231FE"/>
    <w:rsid w:val="0082503D"/>
    <w:rsid w:val="008256E9"/>
    <w:rsid w:val="0082580E"/>
    <w:rsid w:val="00825ECF"/>
    <w:rsid w:val="00826774"/>
    <w:rsid w:val="008270DA"/>
    <w:rsid w:val="00827C7C"/>
    <w:rsid w:val="00832022"/>
    <w:rsid w:val="00832D69"/>
    <w:rsid w:val="008335CA"/>
    <w:rsid w:val="00833923"/>
    <w:rsid w:val="008345CE"/>
    <w:rsid w:val="00835BCB"/>
    <w:rsid w:val="00836816"/>
    <w:rsid w:val="00836E63"/>
    <w:rsid w:val="00837ED0"/>
    <w:rsid w:val="0084014D"/>
    <w:rsid w:val="008406AE"/>
    <w:rsid w:val="00841062"/>
    <w:rsid w:val="00841205"/>
    <w:rsid w:val="0084179D"/>
    <w:rsid w:val="00841A6F"/>
    <w:rsid w:val="00841F2F"/>
    <w:rsid w:val="008424C7"/>
    <w:rsid w:val="00843189"/>
    <w:rsid w:val="00843228"/>
    <w:rsid w:val="00843A0D"/>
    <w:rsid w:val="00843CDE"/>
    <w:rsid w:val="00843F57"/>
    <w:rsid w:val="008450A7"/>
    <w:rsid w:val="0084523F"/>
    <w:rsid w:val="0084588E"/>
    <w:rsid w:val="008461DF"/>
    <w:rsid w:val="00847A1C"/>
    <w:rsid w:val="00847E82"/>
    <w:rsid w:val="00850BD1"/>
    <w:rsid w:val="00850C30"/>
    <w:rsid w:val="00851915"/>
    <w:rsid w:val="00852DA5"/>
    <w:rsid w:val="00852DCC"/>
    <w:rsid w:val="0085352B"/>
    <w:rsid w:val="0085363C"/>
    <w:rsid w:val="00853806"/>
    <w:rsid w:val="00853D7B"/>
    <w:rsid w:val="008544C6"/>
    <w:rsid w:val="008545B3"/>
    <w:rsid w:val="00854EEE"/>
    <w:rsid w:val="00855694"/>
    <w:rsid w:val="00855AEB"/>
    <w:rsid w:val="00855BA0"/>
    <w:rsid w:val="00856499"/>
    <w:rsid w:val="00857288"/>
    <w:rsid w:val="008575D1"/>
    <w:rsid w:val="008576A1"/>
    <w:rsid w:val="008579FE"/>
    <w:rsid w:val="00857FA4"/>
    <w:rsid w:val="00860084"/>
    <w:rsid w:val="0086013F"/>
    <w:rsid w:val="00861F78"/>
    <w:rsid w:val="00862FB0"/>
    <w:rsid w:val="00863D36"/>
    <w:rsid w:val="00864C84"/>
    <w:rsid w:val="00864C9A"/>
    <w:rsid w:val="00865FF9"/>
    <w:rsid w:val="008660DA"/>
    <w:rsid w:val="00866352"/>
    <w:rsid w:val="0086657F"/>
    <w:rsid w:val="0086658B"/>
    <w:rsid w:val="00866A55"/>
    <w:rsid w:val="00866AB9"/>
    <w:rsid w:val="008679C8"/>
    <w:rsid w:val="00867FA8"/>
    <w:rsid w:val="00870EF1"/>
    <w:rsid w:val="0087184B"/>
    <w:rsid w:val="008756C2"/>
    <w:rsid w:val="008759EB"/>
    <w:rsid w:val="00875A7E"/>
    <w:rsid w:val="00875E31"/>
    <w:rsid w:val="00876116"/>
    <w:rsid w:val="008762F8"/>
    <w:rsid w:val="00876548"/>
    <w:rsid w:val="0087701D"/>
    <w:rsid w:val="008776EA"/>
    <w:rsid w:val="00877A77"/>
    <w:rsid w:val="00877E79"/>
    <w:rsid w:val="00880318"/>
    <w:rsid w:val="00880394"/>
    <w:rsid w:val="00881214"/>
    <w:rsid w:val="00881593"/>
    <w:rsid w:val="0088176B"/>
    <w:rsid w:val="00881800"/>
    <w:rsid w:val="00882350"/>
    <w:rsid w:val="008827C2"/>
    <w:rsid w:val="00882A96"/>
    <w:rsid w:val="00883292"/>
    <w:rsid w:val="00886635"/>
    <w:rsid w:val="008866E1"/>
    <w:rsid w:val="0088695E"/>
    <w:rsid w:val="008869BD"/>
    <w:rsid w:val="008871E4"/>
    <w:rsid w:val="00890143"/>
    <w:rsid w:val="00891DF6"/>
    <w:rsid w:val="00892929"/>
    <w:rsid w:val="008931CF"/>
    <w:rsid w:val="008933B9"/>
    <w:rsid w:val="008936E7"/>
    <w:rsid w:val="00893C34"/>
    <w:rsid w:val="00894188"/>
    <w:rsid w:val="00894D64"/>
    <w:rsid w:val="00894D79"/>
    <w:rsid w:val="00894F72"/>
    <w:rsid w:val="00895BE3"/>
    <w:rsid w:val="008962FE"/>
    <w:rsid w:val="00896455"/>
    <w:rsid w:val="00896AF6"/>
    <w:rsid w:val="008972D2"/>
    <w:rsid w:val="0089790E"/>
    <w:rsid w:val="008A0C79"/>
    <w:rsid w:val="008A198A"/>
    <w:rsid w:val="008A25AE"/>
    <w:rsid w:val="008A278A"/>
    <w:rsid w:val="008A364E"/>
    <w:rsid w:val="008A49EC"/>
    <w:rsid w:val="008A623E"/>
    <w:rsid w:val="008A63F2"/>
    <w:rsid w:val="008B00E5"/>
    <w:rsid w:val="008B10DC"/>
    <w:rsid w:val="008B10EE"/>
    <w:rsid w:val="008B15DB"/>
    <w:rsid w:val="008B3A9B"/>
    <w:rsid w:val="008B3E78"/>
    <w:rsid w:val="008B3F24"/>
    <w:rsid w:val="008B4145"/>
    <w:rsid w:val="008B4767"/>
    <w:rsid w:val="008B476F"/>
    <w:rsid w:val="008B4EE3"/>
    <w:rsid w:val="008B5330"/>
    <w:rsid w:val="008B5334"/>
    <w:rsid w:val="008B6996"/>
    <w:rsid w:val="008C068E"/>
    <w:rsid w:val="008C0F08"/>
    <w:rsid w:val="008C1037"/>
    <w:rsid w:val="008C1528"/>
    <w:rsid w:val="008C3147"/>
    <w:rsid w:val="008C3641"/>
    <w:rsid w:val="008C3AF8"/>
    <w:rsid w:val="008C4FFB"/>
    <w:rsid w:val="008C63EC"/>
    <w:rsid w:val="008C6DDF"/>
    <w:rsid w:val="008C7856"/>
    <w:rsid w:val="008C78EA"/>
    <w:rsid w:val="008C79D2"/>
    <w:rsid w:val="008C7E0B"/>
    <w:rsid w:val="008D00A2"/>
    <w:rsid w:val="008D01A5"/>
    <w:rsid w:val="008D031F"/>
    <w:rsid w:val="008D05B5"/>
    <w:rsid w:val="008D163D"/>
    <w:rsid w:val="008D20B6"/>
    <w:rsid w:val="008D2CAE"/>
    <w:rsid w:val="008D4306"/>
    <w:rsid w:val="008D52E3"/>
    <w:rsid w:val="008D65AE"/>
    <w:rsid w:val="008D68A3"/>
    <w:rsid w:val="008D7B45"/>
    <w:rsid w:val="008E0020"/>
    <w:rsid w:val="008E03FC"/>
    <w:rsid w:val="008E0509"/>
    <w:rsid w:val="008E075D"/>
    <w:rsid w:val="008E0B6A"/>
    <w:rsid w:val="008E0B91"/>
    <w:rsid w:val="008E1DE2"/>
    <w:rsid w:val="008E1E35"/>
    <w:rsid w:val="008E22CE"/>
    <w:rsid w:val="008E2AC4"/>
    <w:rsid w:val="008E31AE"/>
    <w:rsid w:val="008E3D23"/>
    <w:rsid w:val="008E3FDF"/>
    <w:rsid w:val="008E4836"/>
    <w:rsid w:val="008E4B04"/>
    <w:rsid w:val="008E5A80"/>
    <w:rsid w:val="008E61B4"/>
    <w:rsid w:val="008E633E"/>
    <w:rsid w:val="008E680D"/>
    <w:rsid w:val="008E74A2"/>
    <w:rsid w:val="008E7590"/>
    <w:rsid w:val="008E7CBD"/>
    <w:rsid w:val="008F05DB"/>
    <w:rsid w:val="008F0FEB"/>
    <w:rsid w:val="008F14EE"/>
    <w:rsid w:val="008F3255"/>
    <w:rsid w:val="008F3B95"/>
    <w:rsid w:val="008F4302"/>
    <w:rsid w:val="008F490B"/>
    <w:rsid w:val="008F4D7B"/>
    <w:rsid w:val="008F6483"/>
    <w:rsid w:val="008F6BA9"/>
    <w:rsid w:val="008F6F37"/>
    <w:rsid w:val="008F6F38"/>
    <w:rsid w:val="008F7009"/>
    <w:rsid w:val="008F74BC"/>
    <w:rsid w:val="008F7F66"/>
    <w:rsid w:val="009010CD"/>
    <w:rsid w:val="00901ED0"/>
    <w:rsid w:val="00903210"/>
    <w:rsid w:val="009038E3"/>
    <w:rsid w:val="00905497"/>
    <w:rsid w:val="00905FA7"/>
    <w:rsid w:val="00906106"/>
    <w:rsid w:val="00906115"/>
    <w:rsid w:val="00906444"/>
    <w:rsid w:val="009066B7"/>
    <w:rsid w:val="00907367"/>
    <w:rsid w:val="00910169"/>
    <w:rsid w:val="009102D4"/>
    <w:rsid w:val="0091031F"/>
    <w:rsid w:val="00910FC9"/>
    <w:rsid w:val="0091204D"/>
    <w:rsid w:val="0091251C"/>
    <w:rsid w:val="00912973"/>
    <w:rsid w:val="009150DA"/>
    <w:rsid w:val="00915794"/>
    <w:rsid w:val="009164B8"/>
    <w:rsid w:val="00917F34"/>
    <w:rsid w:val="0092013C"/>
    <w:rsid w:val="00920B9D"/>
    <w:rsid w:val="009211E6"/>
    <w:rsid w:val="00921561"/>
    <w:rsid w:val="00921976"/>
    <w:rsid w:val="009227EA"/>
    <w:rsid w:val="00922A9B"/>
    <w:rsid w:val="00922E1B"/>
    <w:rsid w:val="00924678"/>
    <w:rsid w:val="00924BF2"/>
    <w:rsid w:val="00926542"/>
    <w:rsid w:val="009269CE"/>
    <w:rsid w:val="00926E75"/>
    <w:rsid w:val="00930B73"/>
    <w:rsid w:val="00930DE2"/>
    <w:rsid w:val="00932DCC"/>
    <w:rsid w:val="00932E80"/>
    <w:rsid w:val="00933C69"/>
    <w:rsid w:val="00934BCF"/>
    <w:rsid w:val="00935E2D"/>
    <w:rsid w:val="00935EA2"/>
    <w:rsid w:val="009374DA"/>
    <w:rsid w:val="00937BAD"/>
    <w:rsid w:val="00940479"/>
    <w:rsid w:val="009407B6"/>
    <w:rsid w:val="00940811"/>
    <w:rsid w:val="0094168F"/>
    <w:rsid w:val="009422D7"/>
    <w:rsid w:val="00942B3D"/>
    <w:rsid w:val="009434AC"/>
    <w:rsid w:val="00945BC2"/>
    <w:rsid w:val="00946148"/>
    <w:rsid w:val="0094641C"/>
    <w:rsid w:val="00946423"/>
    <w:rsid w:val="009464FC"/>
    <w:rsid w:val="0094651F"/>
    <w:rsid w:val="00946B5F"/>
    <w:rsid w:val="00946EC9"/>
    <w:rsid w:val="009473C3"/>
    <w:rsid w:val="009475E1"/>
    <w:rsid w:val="00947E9D"/>
    <w:rsid w:val="0095086E"/>
    <w:rsid w:val="0095118E"/>
    <w:rsid w:val="00951376"/>
    <w:rsid w:val="00951A2E"/>
    <w:rsid w:val="009522D2"/>
    <w:rsid w:val="009534F6"/>
    <w:rsid w:val="00954779"/>
    <w:rsid w:val="00954BC5"/>
    <w:rsid w:val="0095532B"/>
    <w:rsid w:val="00955916"/>
    <w:rsid w:val="00955971"/>
    <w:rsid w:val="00956B63"/>
    <w:rsid w:val="00960895"/>
    <w:rsid w:val="00961B62"/>
    <w:rsid w:val="00962B31"/>
    <w:rsid w:val="00962E75"/>
    <w:rsid w:val="00963528"/>
    <w:rsid w:val="0096477F"/>
    <w:rsid w:val="00964836"/>
    <w:rsid w:val="0096554A"/>
    <w:rsid w:val="00965681"/>
    <w:rsid w:val="00965F8B"/>
    <w:rsid w:val="0096686A"/>
    <w:rsid w:val="00966CA8"/>
    <w:rsid w:val="00966D67"/>
    <w:rsid w:val="00967939"/>
    <w:rsid w:val="0097033F"/>
    <w:rsid w:val="00970A77"/>
    <w:rsid w:val="009718E5"/>
    <w:rsid w:val="00971D7D"/>
    <w:rsid w:val="00972E37"/>
    <w:rsid w:val="00973172"/>
    <w:rsid w:val="009737E7"/>
    <w:rsid w:val="00973DC7"/>
    <w:rsid w:val="00974082"/>
    <w:rsid w:val="00974390"/>
    <w:rsid w:val="0097473D"/>
    <w:rsid w:val="00974C2C"/>
    <w:rsid w:val="009759FC"/>
    <w:rsid w:val="009763AF"/>
    <w:rsid w:val="009763E6"/>
    <w:rsid w:val="00977232"/>
    <w:rsid w:val="00980C19"/>
    <w:rsid w:val="00981CE0"/>
    <w:rsid w:val="00981DF5"/>
    <w:rsid w:val="00982CFB"/>
    <w:rsid w:val="0098300F"/>
    <w:rsid w:val="00983B38"/>
    <w:rsid w:val="0098424F"/>
    <w:rsid w:val="00985259"/>
    <w:rsid w:val="00985E35"/>
    <w:rsid w:val="00986125"/>
    <w:rsid w:val="00990622"/>
    <w:rsid w:val="009909F2"/>
    <w:rsid w:val="0099167D"/>
    <w:rsid w:val="00992121"/>
    <w:rsid w:val="00992D96"/>
    <w:rsid w:val="00993524"/>
    <w:rsid w:val="00993C08"/>
    <w:rsid w:val="0099455C"/>
    <w:rsid w:val="0099474A"/>
    <w:rsid w:val="0099476F"/>
    <w:rsid w:val="009962C8"/>
    <w:rsid w:val="00996318"/>
    <w:rsid w:val="0099649F"/>
    <w:rsid w:val="00997C34"/>
    <w:rsid w:val="009A015D"/>
    <w:rsid w:val="009A0B11"/>
    <w:rsid w:val="009A0E88"/>
    <w:rsid w:val="009A0F18"/>
    <w:rsid w:val="009A1033"/>
    <w:rsid w:val="009A161B"/>
    <w:rsid w:val="009A2096"/>
    <w:rsid w:val="009A2104"/>
    <w:rsid w:val="009A2164"/>
    <w:rsid w:val="009A26CE"/>
    <w:rsid w:val="009A3162"/>
    <w:rsid w:val="009A35DC"/>
    <w:rsid w:val="009A36A1"/>
    <w:rsid w:val="009A3AEE"/>
    <w:rsid w:val="009A3B84"/>
    <w:rsid w:val="009A41FF"/>
    <w:rsid w:val="009A4702"/>
    <w:rsid w:val="009A571A"/>
    <w:rsid w:val="009A646E"/>
    <w:rsid w:val="009A6577"/>
    <w:rsid w:val="009A7C36"/>
    <w:rsid w:val="009B0CE6"/>
    <w:rsid w:val="009B0F57"/>
    <w:rsid w:val="009B1AB0"/>
    <w:rsid w:val="009B2D0D"/>
    <w:rsid w:val="009B3827"/>
    <w:rsid w:val="009B486B"/>
    <w:rsid w:val="009B4B34"/>
    <w:rsid w:val="009B4BAF"/>
    <w:rsid w:val="009B500C"/>
    <w:rsid w:val="009B5A51"/>
    <w:rsid w:val="009B5BA5"/>
    <w:rsid w:val="009B6D1F"/>
    <w:rsid w:val="009B7A6B"/>
    <w:rsid w:val="009B7BF7"/>
    <w:rsid w:val="009B7C88"/>
    <w:rsid w:val="009B7CAB"/>
    <w:rsid w:val="009B7CD4"/>
    <w:rsid w:val="009C0A41"/>
    <w:rsid w:val="009C0F3F"/>
    <w:rsid w:val="009C15A2"/>
    <w:rsid w:val="009C1826"/>
    <w:rsid w:val="009C1A68"/>
    <w:rsid w:val="009C3390"/>
    <w:rsid w:val="009C39E0"/>
    <w:rsid w:val="009C3A21"/>
    <w:rsid w:val="009C3E2C"/>
    <w:rsid w:val="009C5139"/>
    <w:rsid w:val="009C5270"/>
    <w:rsid w:val="009C6292"/>
    <w:rsid w:val="009C6561"/>
    <w:rsid w:val="009C6A3D"/>
    <w:rsid w:val="009C7553"/>
    <w:rsid w:val="009D11A0"/>
    <w:rsid w:val="009D19FD"/>
    <w:rsid w:val="009D1A21"/>
    <w:rsid w:val="009D1DEE"/>
    <w:rsid w:val="009D254B"/>
    <w:rsid w:val="009D29BB"/>
    <w:rsid w:val="009D2D5E"/>
    <w:rsid w:val="009D300F"/>
    <w:rsid w:val="009D4EF5"/>
    <w:rsid w:val="009D539D"/>
    <w:rsid w:val="009D61CB"/>
    <w:rsid w:val="009D79C3"/>
    <w:rsid w:val="009E0216"/>
    <w:rsid w:val="009E04F7"/>
    <w:rsid w:val="009E0961"/>
    <w:rsid w:val="009E0F9D"/>
    <w:rsid w:val="009E1233"/>
    <w:rsid w:val="009E1BBB"/>
    <w:rsid w:val="009E1E85"/>
    <w:rsid w:val="009E2028"/>
    <w:rsid w:val="009E20FE"/>
    <w:rsid w:val="009E2108"/>
    <w:rsid w:val="009E26D1"/>
    <w:rsid w:val="009E3002"/>
    <w:rsid w:val="009E3894"/>
    <w:rsid w:val="009E4A0F"/>
    <w:rsid w:val="009E4E3A"/>
    <w:rsid w:val="009E537C"/>
    <w:rsid w:val="009F0725"/>
    <w:rsid w:val="009F1083"/>
    <w:rsid w:val="009F19FB"/>
    <w:rsid w:val="009F1C87"/>
    <w:rsid w:val="009F1FB1"/>
    <w:rsid w:val="009F2A9F"/>
    <w:rsid w:val="009F36C8"/>
    <w:rsid w:val="009F387C"/>
    <w:rsid w:val="009F3C8E"/>
    <w:rsid w:val="009F433C"/>
    <w:rsid w:val="009F44D3"/>
    <w:rsid w:val="009F4E7F"/>
    <w:rsid w:val="009F5684"/>
    <w:rsid w:val="009F5909"/>
    <w:rsid w:val="009F6401"/>
    <w:rsid w:val="009F66F8"/>
    <w:rsid w:val="009F73F0"/>
    <w:rsid w:val="00A01087"/>
    <w:rsid w:val="00A021CC"/>
    <w:rsid w:val="00A0285C"/>
    <w:rsid w:val="00A028B9"/>
    <w:rsid w:val="00A02F97"/>
    <w:rsid w:val="00A03D1E"/>
    <w:rsid w:val="00A040E5"/>
    <w:rsid w:val="00A044D3"/>
    <w:rsid w:val="00A04E32"/>
    <w:rsid w:val="00A04EFE"/>
    <w:rsid w:val="00A050AE"/>
    <w:rsid w:val="00A05555"/>
    <w:rsid w:val="00A05C83"/>
    <w:rsid w:val="00A06614"/>
    <w:rsid w:val="00A06B36"/>
    <w:rsid w:val="00A07738"/>
    <w:rsid w:val="00A07F51"/>
    <w:rsid w:val="00A10061"/>
    <w:rsid w:val="00A109A1"/>
    <w:rsid w:val="00A10C7D"/>
    <w:rsid w:val="00A1160C"/>
    <w:rsid w:val="00A12DA7"/>
    <w:rsid w:val="00A13785"/>
    <w:rsid w:val="00A138AA"/>
    <w:rsid w:val="00A13DA0"/>
    <w:rsid w:val="00A14A40"/>
    <w:rsid w:val="00A14C48"/>
    <w:rsid w:val="00A15359"/>
    <w:rsid w:val="00A16D70"/>
    <w:rsid w:val="00A172BD"/>
    <w:rsid w:val="00A17692"/>
    <w:rsid w:val="00A17CA5"/>
    <w:rsid w:val="00A17CD1"/>
    <w:rsid w:val="00A228AD"/>
    <w:rsid w:val="00A232BE"/>
    <w:rsid w:val="00A23529"/>
    <w:rsid w:val="00A2378F"/>
    <w:rsid w:val="00A23C99"/>
    <w:rsid w:val="00A24172"/>
    <w:rsid w:val="00A2601C"/>
    <w:rsid w:val="00A2617E"/>
    <w:rsid w:val="00A26454"/>
    <w:rsid w:val="00A26C69"/>
    <w:rsid w:val="00A2721B"/>
    <w:rsid w:val="00A27296"/>
    <w:rsid w:val="00A27AF0"/>
    <w:rsid w:val="00A30889"/>
    <w:rsid w:val="00A3260F"/>
    <w:rsid w:val="00A33498"/>
    <w:rsid w:val="00A33B77"/>
    <w:rsid w:val="00A33C60"/>
    <w:rsid w:val="00A33F73"/>
    <w:rsid w:val="00A34A1F"/>
    <w:rsid w:val="00A35225"/>
    <w:rsid w:val="00A36EAE"/>
    <w:rsid w:val="00A3707A"/>
    <w:rsid w:val="00A371BD"/>
    <w:rsid w:val="00A37C44"/>
    <w:rsid w:val="00A4014C"/>
    <w:rsid w:val="00A40497"/>
    <w:rsid w:val="00A40679"/>
    <w:rsid w:val="00A406E7"/>
    <w:rsid w:val="00A42DE6"/>
    <w:rsid w:val="00A436B7"/>
    <w:rsid w:val="00A4401E"/>
    <w:rsid w:val="00A4641E"/>
    <w:rsid w:val="00A46EE9"/>
    <w:rsid w:val="00A4726A"/>
    <w:rsid w:val="00A47EBF"/>
    <w:rsid w:val="00A50EF2"/>
    <w:rsid w:val="00A52EBD"/>
    <w:rsid w:val="00A53F14"/>
    <w:rsid w:val="00A5439D"/>
    <w:rsid w:val="00A54E0D"/>
    <w:rsid w:val="00A550BE"/>
    <w:rsid w:val="00A55913"/>
    <w:rsid w:val="00A561BE"/>
    <w:rsid w:val="00A56514"/>
    <w:rsid w:val="00A56E45"/>
    <w:rsid w:val="00A56E78"/>
    <w:rsid w:val="00A5701C"/>
    <w:rsid w:val="00A572BC"/>
    <w:rsid w:val="00A5750C"/>
    <w:rsid w:val="00A57CF2"/>
    <w:rsid w:val="00A60003"/>
    <w:rsid w:val="00A60228"/>
    <w:rsid w:val="00A605E7"/>
    <w:rsid w:val="00A61386"/>
    <w:rsid w:val="00A61D0B"/>
    <w:rsid w:val="00A622B3"/>
    <w:rsid w:val="00A62F75"/>
    <w:rsid w:val="00A635FD"/>
    <w:rsid w:val="00A63A19"/>
    <w:rsid w:val="00A63A1E"/>
    <w:rsid w:val="00A63C48"/>
    <w:rsid w:val="00A646A2"/>
    <w:rsid w:val="00A650A0"/>
    <w:rsid w:val="00A667E0"/>
    <w:rsid w:val="00A6739F"/>
    <w:rsid w:val="00A674E6"/>
    <w:rsid w:val="00A67C4C"/>
    <w:rsid w:val="00A67FA0"/>
    <w:rsid w:val="00A7017B"/>
    <w:rsid w:val="00A705BF"/>
    <w:rsid w:val="00A70D18"/>
    <w:rsid w:val="00A710CD"/>
    <w:rsid w:val="00A71B8C"/>
    <w:rsid w:val="00A722BD"/>
    <w:rsid w:val="00A72799"/>
    <w:rsid w:val="00A7286D"/>
    <w:rsid w:val="00A72D9F"/>
    <w:rsid w:val="00A73452"/>
    <w:rsid w:val="00A735EC"/>
    <w:rsid w:val="00A74A8C"/>
    <w:rsid w:val="00A75D0C"/>
    <w:rsid w:val="00A75E34"/>
    <w:rsid w:val="00A76C23"/>
    <w:rsid w:val="00A7756B"/>
    <w:rsid w:val="00A7790A"/>
    <w:rsid w:val="00A802F8"/>
    <w:rsid w:val="00A804B4"/>
    <w:rsid w:val="00A808A8"/>
    <w:rsid w:val="00A81962"/>
    <w:rsid w:val="00A827F0"/>
    <w:rsid w:val="00A838BE"/>
    <w:rsid w:val="00A83D07"/>
    <w:rsid w:val="00A850C1"/>
    <w:rsid w:val="00A85BBB"/>
    <w:rsid w:val="00A85C63"/>
    <w:rsid w:val="00A85FCC"/>
    <w:rsid w:val="00A8698E"/>
    <w:rsid w:val="00A86B45"/>
    <w:rsid w:val="00A874AE"/>
    <w:rsid w:val="00A90714"/>
    <w:rsid w:val="00A90A74"/>
    <w:rsid w:val="00A91756"/>
    <w:rsid w:val="00A91BD0"/>
    <w:rsid w:val="00A91DE5"/>
    <w:rsid w:val="00A92063"/>
    <w:rsid w:val="00A922DC"/>
    <w:rsid w:val="00A926D0"/>
    <w:rsid w:val="00A92B2E"/>
    <w:rsid w:val="00A935E4"/>
    <w:rsid w:val="00A9395D"/>
    <w:rsid w:val="00A93D38"/>
    <w:rsid w:val="00A9403F"/>
    <w:rsid w:val="00A9410C"/>
    <w:rsid w:val="00A9489A"/>
    <w:rsid w:val="00A948BF"/>
    <w:rsid w:val="00A94A15"/>
    <w:rsid w:val="00A94DC5"/>
    <w:rsid w:val="00A94E96"/>
    <w:rsid w:val="00A95515"/>
    <w:rsid w:val="00A95E79"/>
    <w:rsid w:val="00A96566"/>
    <w:rsid w:val="00A96593"/>
    <w:rsid w:val="00A97F49"/>
    <w:rsid w:val="00AA0273"/>
    <w:rsid w:val="00AA1209"/>
    <w:rsid w:val="00AA1666"/>
    <w:rsid w:val="00AA1BD1"/>
    <w:rsid w:val="00AA1FC6"/>
    <w:rsid w:val="00AA2C01"/>
    <w:rsid w:val="00AA2DDE"/>
    <w:rsid w:val="00AA314C"/>
    <w:rsid w:val="00AA3307"/>
    <w:rsid w:val="00AA3589"/>
    <w:rsid w:val="00AA39AE"/>
    <w:rsid w:val="00AA4829"/>
    <w:rsid w:val="00AA6569"/>
    <w:rsid w:val="00AA7851"/>
    <w:rsid w:val="00AB000C"/>
    <w:rsid w:val="00AB0891"/>
    <w:rsid w:val="00AB0CCE"/>
    <w:rsid w:val="00AB1B03"/>
    <w:rsid w:val="00AB1CAB"/>
    <w:rsid w:val="00AB2851"/>
    <w:rsid w:val="00AB286B"/>
    <w:rsid w:val="00AB2C07"/>
    <w:rsid w:val="00AB3308"/>
    <w:rsid w:val="00AB35FA"/>
    <w:rsid w:val="00AB369C"/>
    <w:rsid w:val="00AB5B80"/>
    <w:rsid w:val="00AB5D05"/>
    <w:rsid w:val="00AB6740"/>
    <w:rsid w:val="00AB6959"/>
    <w:rsid w:val="00AB79D3"/>
    <w:rsid w:val="00AB7B07"/>
    <w:rsid w:val="00AC00B3"/>
    <w:rsid w:val="00AC04F3"/>
    <w:rsid w:val="00AC13F6"/>
    <w:rsid w:val="00AC1EF3"/>
    <w:rsid w:val="00AC2891"/>
    <w:rsid w:val="00AC2974"/>
    <w:rsid w:val="00AC2EFE"/>
    <w:rsid w:val="00AC420A"/>
    <w:rsid w:val="00AC43DC"/>
    <w:rsid w:val="00AC617F"/>
    <w:rsid w:val="00AC775C"/>
    <w:rsid w:val="00AC7ED0"/>
    <w:rsid w:val="00AD017D"/>
    <w:rsid w:val="00AD18E9"/>
    <w:rsid w:val="00AD34AC"/>
    <w:rsid w:val="00AD3EE2"/>
    <w:rsid w:val="00AD3F80"/>
    <w:rsid w:val="00AD4F14"/>
    <w:rsid w:val="00AD53DA"/>
    <w:rsid w:val="00AD59A8"/>
    <w:rsid w:val="00AD5E99"/>
    <w:rsid w:val="00AD6768"/>
    <w:rsid w:val="00AE0B0E"/>
    <w:rsid w:val="00AE0BA7"/>
    <w:rsid w:val="00AE0E2A"/>
    <w:rsid w:val="00AE1D07"/>
    <w:rsid w:val="00AE20EF"/>
    <w:rsid w:val="00AE24A7"/>
    <w:rsid w:val="00AE2779"/>
    <w:rsid w:val="00AE2BB7"/>
    <w:rsid w:val="00AE4C1C"/>
    <w:rsid w:val="00AE512B"/>
    <w:rsid w:val="00AE5D22"/>
    <w:rsid w:val="00AE5FB6"/>
    <w:rsid w:val="00AE67A3"/>
    <w:rsid w:val="00AE71FE"/>
    <w:rsid w:val="00AE7F9B"/>
    <w:rsid w:val="00AF0010"/>
    <w:rsid w:val="00AF0739"/>
    <w:rsid w:val="00AF134B"/>
    <w:rsid w:val="00AF167B"/>
    <w:rsid w:val="00AF1DDE"/>
    <w:rsid w:val="00AF214D"/>
    <w:rsid w:val="00AF2204"/>
    <w:rsid w:val="00AF2CD0"/>
    <w:rsid w:val="00AF2E7D"/>
    <w:rsid w:val="00AF3A29"/>
    <w:rsid w:val="00AF3BFC"/>
    <w:rsid w:val="00AF41A6"/>
    <w:rsid w:val="00AF4420"/>
    <w:rsid w:val="00AF50FB"/>
    <w:rsid w:val="00AF5609"/>
    <w:rsid w:val="00AF58BD"/>
    <w:rsid w:val="00AF61E6"/>
    <w:rsid w:val="00AF64FB"/>
    <w:rsid w:val="00AF683C"/>
    <w:rsid w:val="00AF6E11"/>
    <w:rsid w:val="00B00331"/>
    <w:rsid w:val="00B00C58"/>
    <w:rsid w:val="00B0127C"/>
    <w:rsid w:val="00B02602"/>
    <w:rsid w:val="00B02D3D"/>
    <w:rsid w:val="00B02DFD"/>
    <w:rsid w:val="00B032A9"/>
    <w:rsid w:val="00B0366D"/>
    <w:rsid w:val="00B03D11"/>
    <w:rsid w:val="00B04907"/>
    <w:rsid w:val="00B04D85"/>
    <w:rsid w:val="00B05542"/>
    <w:rsid w:val="00B05FC6"/>
    <w:rsid w:val="00B06CE0"/>
    <w:rsid w:val="00B07754"/>
    <w:rsid w:val="00B10AEB"/>
    <w:rsid w:val="00B1101E"/>
    <w:rsid w:val="00B11065"/>
    <w:rsid w:val="00B1283B"/>
    <w:rsid w:val="00B12E82"/>
    <w:rsid w:val="00B13532"/>
    <w:rsid w:val="00B13EFE"/>
    <w:rsid w:val="00B14523"/>
    <w:rsid w:val="00B14BDE"/>
    <w:rsid w:val="00B162E2"/>
    <w:rsid w:val="00B16773"/>
    <w:rsid w:val="00B16CC1"/>
    <w:rsid w:val="00B17686"/>
    <w:rsid w:val="00B17796"/>
    <w:rsid w:val="00B17C0D"/>
    <w:rsid w:val="00B20230"/>
    <w:rsid w:val="00B2061F"/>
    <w:rsid w:val="00B20ECD"/>
    <w:rsid w:val="00B21594"/>
    <w:rsid w:val="00B21B03"/>
    <w:rsid w:val="00B21C62"/>
    <w:rsid w:val="00B21ED8"/>
    <w:rsid w:val="00B22021"/>
    <w:rsid w:val="00B22AC3"/>
    <w:rsid w:val="00B2309A"/>
    <w:rsid w:val="00B23571"/>
    <w:rsid w:val="00B237F0"/>
    <w:rsid w:val="00B23AD7"/>
    <w:rsid w:val="00B2460D"/>
    <w:rsid w:val="00B2478B"/>
    <w:rsid w:val="00B249E5"/>
    <w:rsid w:val="00B24D6D"/>
    <w:rsid w:val="00B25364"/>
    <w:rsid w:val="00B254CB"/>
    <w:rsid w:val="00B25856"/>
    <w:rsid w:val="00B25A96"/>
    <w:rsid w:val="00B25D00"/>
    <w:rsid w:val="00B26BDF"/>
    <w:rsid w:val="00B27266"/>
    <w:rsid w:val="00B27E8D"/>
    <w:rsid w:val="00B27EA1"/>
    <w:rsid w:val="00B309CC"/>
    <w:rsid w:val="00B30A08"/>
    <w:rsid w:val="00B30CA9"/>
    <w:rsid w:val="00B30D4E"/>
    <w:rsid w:val="00B33418"/>
    <w:rsid w:val="00B34A41"/>
    <w:rsid w:val="00B34F66"/>
    <w:rsid w:val="00B352B6"/>
    <w:rsid w:val="00B35354"/>
    <w:rsid w:val="00B35879"/>
    <w:rsid w:val="00B35A39"/>
    <w:rsid w:val="00B369CD"/>
    <w:rsid w:val="00B36F66"/>
    <w:rsid w:val="00B40600"/>
    <w:rsid w:val="00B40A83"/>
    <w:rsid w:val="00B4115B"/>
    <w:rsid w:val="00B4175B"/>
    <w:rsid w:val="00B41A59"/>
    <w:rsid w:val="00B423A2"/>
    <w:rsid w:val="00B42CB4"/>
    <w:rsid w:val="00B42ED5"/>
    <w:rsid w:val="00B43DEA"/>
    <w:rsid w:val="00B44DD3"/>
    <w:rsid w:val="00B4564B"/>
    <w:rsid w:val="00B45A8D"/>
    <w:rsid w:val="00B460B1"/>
    <w:rsid w:val="00B4651D"/>
    <w:rsid w:val="00B474BA"/>
    <w:rsid w:val="00B47B09"/>
    <w:rsid w:val="00B47F52"/>
    <w:rsid w:val="00B500B6"/>
    <w:rsid w:val="00B504C0"/>
    <w:rsid w:val="00B50526"/>
    <w:rsid w:val="00B50B41"/>
    <w:rsid w:val="00B50E4B"/>
    <w:rsid w:val="00B516DE"/>
    <w:rsid w:val="00B52357"/>
    <w:rsid w:val="00B5364F"/>
    <w:rsid w:val="00B5370A"/>
    <w:rsid w:val="00B53F4A"/>
    <w:rsid w:val="00B5470A"/>
    <w:rsid w:val="00B55653"/>
    <w:rsid w:val="00B55733"/>
    <w:rsid w:val="00B5760D"/>
    <w:rsid w:val="00B60C80"/>
    <w:rsid w:val="00B611C4"/>
    <w:rsid w:val="00B61629"/>
    <w:rsid w:val="00B62377"/>
    <w:rsid w:val="00B62FBE"/>
    <w:rsid w:val="00B65F67"/>
    <w:rsid w:val="00B713C3"/>
    <w:rsid w:val="00B71478"/>
    <w:rsid w:val="00B72844"/>
    <w:rsid w:val="00B73101"/>
    <w:rsid w:val="00B73643"/>
    <w:rsid w:val="00B73A41"/>
    <w:rsid w:val="00B73E17"/>
    <w:rsid w:val="00B7444F"/>
    <w:rsid w:val="00B74FEF"/>
    <w:rsid w:val="00B752E3"/>
    <w:rsid w:val="00B7545D"/>
    <w:rsid w:val="00B759D6"/>
    <w:rsid w:val="00B76FFA"/>
    <w:rsid w:val="00B80215"/>
    <w:rsid w:val="00B80CA3"/>
    <w:rsid w:val="00B81558"/>
    <w:rsid w:val="00B82120"/>
    <w:rsid w:val="00B82494"/>
    <w:rsid w:val="00B8256E"/>
    <w:rsid w:val="00B82805"/>
    <w:rsid w:val="00B834E3"/>
    <w:rsid w:val="00B83582"/>
    <w:rsid w:val="00B83BA3"/>
    <w:rsid w:val="00B844D3"/>
    <w:rsid w:val="00B850F9"/>
    <w:rsid w:val="00B85C4E"/>
    <w:rsid w:val="00B861D1"/>
    <w:rsid w:val="00B8620F"/>
    <w:rsid w:val="00B8630A"/>
    <w:rsid w:val="00B86A47"/>
    <w:rsid w:val="00B86BA6"/>
    <w:rsid w:val="00B86D90"/>
    <w:rsid w:val="00B87AC0"/>
    <w:rsid w:val="00B90263"/>
    <w:rsid w:val="00B92158"/>
    <w:rsid w:val="00B92234"/>
    <w:rsid w:val="00B9244F"/>
    <w:rsid w:val="00B9302C"/>
    <w:rsid w:val="00B93BCC"/>
    <w:rsid w:val="00B93E1D"/>
    <w:rsid w:val="00B940E7"/>
    <w:rsid w:val="00B948E9"/>
    <w:rsid w:val="00B94BDE"/>
    <w:rsid w:val="00B95198"/>
    <w:rsid w:val="00B951AD"/>
    <w:rsid w:val="00B95239"/>
    <w:rsid w:val="00B95411"/>
    <w:rsid w:val="00B96A13"/>
    <w:rsid w:val="00B9736A"/>
    <w:rsid w:val="00B97741"/>
    <w:rsid w:val="00B97F56"/>
    <w:rsid w:val="00BA0CA7"/>
    <w:rsid w:val="00BA1B71"/>
    <w:rsid w:val="00BA251F"/>
    <w:rsid w:val="00BA2B79"/>
    <w:rsid w:val="00BA32B2"/>
    <w:rsid w:val="00BA361A"/>
    <w:rsid w:val="00BA4089"/>
    <w:rsid w:val="00BA4888"/>
    <w:rsid w:val="00BA5F6E"/>
    <w:rsid w:val="00BA6F2C"/>
    <w:rsid w:val="00BA7A1A"/>
    <w:rsid w:val="00BB057B"/>
    <w:rsid w:val="00BB0B13"/>
    <w:rsid w:val="00BB0CEB"/>
    <w:rsid w:val="00BB17EC"/>
    <w:rsid w:val="00BB2BCA"/>
    <w:rsid w:val="00BB2DF8"/>
    <w:rsid w:val="00BB3A23"/>
    <w:rsid w:val="00BB3E7D"/>
    <w:rsid w:val="00BB4409"/>
    <w:rsid w:val="00BB4747"/>
    <w:rsid w:val="00BB47AD"/>
    <w:rsid w:val="00BB4BF5"/>
    <w:rsid w:val="00BB63EB"/>
    <w:rsid w:val="00BB6505"/>
    <w:rsid w:val="00BB70B2"/>
    <w:rsid w:val="00BB7417"/>
    <w:rsid w:val="00BB7811"/>
    <w:rsid w:val="00BB7BC1"/>
    <w:rsid w:val="00BB7C39"/>
    <w:rsid w:val="00BC0033"/>
    <w:rsid w:val="00BC10C3"/>
    <w:rsid w:val="00BC12E9"/>
    <w:rsid w:val="00BC12F4"/>
    <w:rsid w:val="00BC1611"/>
    <w:rsid w:val="00BC1917"/>
    <w:rsid w:val="00BC21B7"/>
    <w:rsid w:val="00BC312B"/>
    <w:rsid w:val="00BC54A3"/>
    <w:rsid w:val="00BC60DB"/>
    <w:rsid w:val="00BC624A"/>
    <w:rsid w:val="00BC6434"/>
    <w:rsid w:val="00BC66C5"/>
    <w:rsid w:val="00BD1A87"/>
    <w:rsid w:val="00BD29AF"/>
    <w:rsid w:val="00BD3ABA"/>
    <w:rsid w:val="00BD3BFB"/>
    <w:rsid w:val="00BD435C"/>
    <w:rsid w:val="00BD4B7B"/>
    <w:rsid w:val="00BD4D69"/>
    <w:rsid w:val="00BD5465"/>
    <w:rsid w:val="00BD56B5"/>
    <w:rsid w:val="00BD6B9B"/>
    <w:rsid w:val="00BD6BBD"/>
    <w:rsid w:val="00BD6BE0"/>
    <w:rsid w:val="00BD6DD0"/>
    <w:rsid w:val="00BD79CF"/>
    <w:rsid w:val="00BE03D3"/>
    <w:rsid w:val="00BE1468"/>
    <w:rsid w:val="00BE1565"/>
    <w:rsid w:val="00BE1D3E"/>
    <w:rsid w:val="00BE2089"/>
    <w:rsid w:val="00BE23D9"/>
    <w:rsid w:val="00BE2850"/>
    <w:rsid w:val="00BE348D"/>
    <w:rsid w:val="00BE3B89"/>
    <w:rsid w:val="00BE480A"/>
    <w:rsid w:val="00BE5439"/>
    <w:rsid w:val="00BE557F"/>
    <w:rsid w:val="00BE571A"/>
    <w:rsid w:val="00BE5F40"/>
    <w:rsid w:val="00BE6030"/>
    <w:rsid w:val="00BE69CC"/>
    <w:rsid w:val="00BE6C5B"/>
    <w:rsid w:val="00BE6DE0"/>
    <w:rsid w:val="00BE79DC"/>
    <w:rsid w:val="00BF0A42"/>
    <w:rsid w:val="00BF0B9C"/>
    <w:rsid w:val="00BF0EE3"/>
    <w:rsid w:val="00BF19E4"/>
    <w:rsid w:val="00BF2A9C"/>
    <w:rsid w:val="00BF2B41"/>
    <w:rsid w:val="00BF44DA"/>
    <w:rsid w:val="00BF61F0"/>
    <w:rsid w:val="00BF6860"/>
    <w:rsid w:val="00BF6A55"/>
    <w:rsid w:val="00BF6D5A"/>
    <w:rsid w:val="00BF6E03"/>
    <w:rsid w:val="00BF7067"/>
    <w:rsid w:val="00C000A6"/>
    <w:rsid w:val="00C00F27"/>
    <w:rsid w:val="00C0243A"/>
    <w:rsid w:val="00C02E4E"/>
    <w:rsid w:val="00C03873"/>
    <w:rsid w:val="00C04C63"/>
    <w:rsid w:val="00C0534A"/>
    <w:rsid w:val="00C058AF"/>
    <w:rsid w:val="00C05B0D"/>
    <w:rsid w:val="00C06B3B"/>
    <w:rsid w:val="00C07E85"/>
    <w:rsid w:val="00C11166"/>
    <w:rsid w:val="00C1211D"/>
    <w:rsid w:val="00C122F8"/>
    <w:rsid w:val="00C13A02"/>
    <w:rsid w:val="00C13B2E"/>
    <w:rsid w:val="00C143D3"/>
    <w:rsid w:val="00C14431"/>
    <w:rsid w:val="00C15166"/>
    <w:rsid w:val="00C15790"/>
    <w:rsid w:val="00C175E2"/>
    <w:rsid w:val="00C20161"/>
    <w:rsid w:val="00C20556"/>
    <w:rsid w:val="00C20BD3"/>
    <w:rsid w:val="00C20DE4"/>
    <w:rsid w:val="00C2108A"/>
    <w:rsid w:val="00C21122"/>
    <w:rsid w:val="00C21709"/>
    <w:rsid w:val="00C2282A"/>
    <w:rsid w:val="00C2298A"/>
    <w:rsid w:val="00C22F98"/>
    <w:rsid w:val="00C230EE"/>
    <w:rsid w:val="00C23B2F"/>
    <w:rsid w:val="00C2409C"/>
    <w:rsid w:val="00C24E83"/>
    <w:rsid w:val="00C24F31"/>
    <w:rsid w:val="00C25A94"/>
    <w:rsid w:val="00C25AB7"/>
    <w:rsid w:val="00C25FBD"/>
    <w:rsid w:val="00C27164"/>
    <w:rsid w:val="00C275A3"/>
    <w:rsid w:val="00C300B0"/>
    <w:rsid w:val="00C30239"/>
    <w:rsid w:val="00C306EE"/>
    <w:rsid w:val="00C30C04"/>
    <w:rsid w:val="00C31452"/>
    <w:rsid w:val="00C3149F"/>
    <w:rsid w:val="00C314C2"/>
    <w:rsid w:val="00C3174B"/>
    <w:rsid w:val="00C31D40"/>
    <w:rsid w:val="00C32354"/>
    <w:rsid w:val="00C32E53"/>
    <w:rsid w:val="00C3414C"/>
    <w:rsid w:val="00C34949"/>
    <w:rsid w:val="00C34E35"/>
    <w:rsid w:val="00C3662D"/>
    <w:rsid w:val="00C370AC"/>
    <w:rsid w:val="00C371B5"/>
    <w:rsid w:val="00C371C6"/>
    <w:rsid w:val="00C37571"/>
    <w:rsid w:val="00C4032D"/>
    <w:rsid w:val="00C41222"/>
    <w:rsid w:val="00C42E17"/>
    <w:rsid w:val="00C45439"/>
    <w:rsid w:val="00C46840"/>
    <w:rsid w:val="00C47BD6"/>
    <w:rsid w:val="00C50390"/>
    <w:rsid w:val="00C50843"/>
    <w:rsid w:val="00C50CA3"/>
    <w:rsid w:val="00C51843"/>
    <w:rsid w:val="00C51A30"/>
    <w:rsid w:val="00C51ADC"/>
    <w:rsid w:val="00C52B0F"/>
    <w:rsid w:val="00C536D7"/>
    <w:rsid w:val="00C53EDC"/>
    <w:rsid w:val="00C54D7F"/>
    <w:rsid w:val="00C554D8"/>
    <w:rsid w:val="00C55610"/>
    <w:rsid w:val="00C55637"/>
    <w:rsid w:val="00C55844"/>
    <w:rsid w:val="00C56A1A"/>
    <w:rsid w:val="00C56BEE"/>
    <w:rsid w:val="00C575D7"/>
    <w:rsid w:val="00C57890"/>
    <w:rsid w:val="00C57985"/>
    <w:rsid w:val="00C60350"/>
    <w:rsid w:val="00C607F4"/>
    <w:rsid w:val="00C60B6C"/>
    <w:rsid w:val="00C60C0D"/>
    <w:rsid w:val="00C60EEE"/>
    <w:rsid w:val="00C6109D"/>
    <w:rsid w:val="00C61125"/>
    <w:rsid w:val="00C625ED"/>
    <w:rsid w:val="00C62649"/>
    <w:rsid w:val="00C62BF4"/>
    <w:rsid w:val="00C63D17"/>
    <w:rsid w:val="00C6441A"/>
    <w:rsid w:val="00C64B46"/>
    <w:rsid w:val="00C66528"/>
    <w:rsid w:val="00C7081D"/>
    <w:rsid w:val="00C70E8E"/>
    <w:rsid w:val="00C71F59"/>
    <w:rsid w:val="00C725CA"/>
    <w:rsid w:val="00C72915"/>
    <w:rsid w:val="00C72A8E"/>
    <w:rsid w:val="00C73040"/>
    <w:rsid w:val="00C73BE2"/>
    <w:rsid w:val="00C743BB"/>
    <w:rsid w:val="00C74ED0"/>
    <w:rsid w:val="00C7504C"/>
    <w:rsid w:val="00C753C9"/>
    <w:rsid w:val="00C761F3"/>
    <w:rsid w:val="00C764BF"/>
    <w:rsid w:val="00C768CD"/>
    <w:rsid w:val="00C76B75"/>
    <w:rsid w:val="00C76E36"/>
    <w:rsid w:val="00C772A3"/>
    <w:rsid w:val="00C7768D"/>
    <w:rsid w:val="00C80473"/>
    <w:rsid w:val="00C81F8F"/>
    <w:rsid w:val="00C8265E"/>
    <w:rsid w:val="00C828E9"/>
    <w:rsid w:val="00C829E8"/>
    <w:rsid w:val="00C8334C"/>
    <w:rsid w:val="00C83968"/>
    <w:rsid w:val="00C846CE"/>
    <w:rsid w:val="00C84846"/>
    <w:rsid w:val="00C86285"/>
    <w:rsid w:val="00C86D81"/>
    <w:rsid w:val="00C8707D"/>
    <w:rsid w:val="00C8737B"/>
    <w:rsid w:val="00C876F0"/>
    <w:rsid w:val="00C87CC8"/>
    <w:rsid w:val="00C90372"/>
    <w:rsid w:val="00C9064C"/>
    <w:rsid w:val="00C91944"/>
    <w:rsid w:val="00C91BCA"/>
    <w:rsid w:val="00C92119"/>
    <w:rsid w:val="00C92A38"/>
    <w:rsid w:val="00C93227"/>
    <w:rsid w:val="00C944F3"/>
    <w:rsid w:val="00C9472A"/>
    <w:rsid w:val="00C94B80"/>
    <w:rsid w:val="00C9503B"/>
    <w:rsid w:val="00C956BC"/>
    <w:rsid w:val="00C96A6D"/>
    <w:rsid w:val="00C96B8B"/>
    <w:rsid w:val="00C97888"/>
    <w:rsid w:val="00CA1446"/>
    <w:rsid w:val="00CA1A89"/>
    <w:rsid w:val="00CA277A"/>
    <w:rsid w:val="00CA32E8"/>
    <w:rsid w:val="00CA41E9"/>
    <w:rsid w:val="00CA648B"/>
    <w:rsid w:val="00CA66D1"/>
    <w:rsid w:val="00CA676B"/>
    <w:rsid w:val="00CA677C"/>
    <w:rsid w:val="00CB0621"/>
    <w:rsid w:val="00CB0B27"/>
    <w:rsid w:val="00CB0D7C"/>
    <w:rsid w:val="00CB0DEE"/>
    <w:rsid w:val="00CB0E88"/>
    <w:rsid w:val="00CB1240"/>
    <w:rsid w:val="00CB2256"/>
    <w:rsid w:val="00CB3153"/>
    <w:rsid w:val="00CB444D"/>
    <w:rsid w:val="00CB45A0"/>
    <w:rsid w:val="00CB5571"/>
    <w:rsid w:val="00CB5A01"/>
    <w:rsid w:val="00CB5E75"/>
    <w:rsid w:val="00CB61AC"/>
    <w:rsid w:val="00CB636E"/>
    <w:rsid w:val="00CB6A1A"/>
    <w:rsid w:val="00CB6DAF"/>
    <w:rsid w:val="00CB6EC7"/>
    <w:rsid w:val="00CB719F"/>
    <w:rsid w:val="00CB721E"/>
    <w:rsid w:val="00CB73D6"/>
    <w:rsid w:val="00CB76F8"/>
    <w:rsid w:val="00CB7B10"/>
    <w:rsid w:val="00CB7C73"/>
    <w:rsid w:val="00CC00BD"/>
    <w:rsid w:val="00CC0AFF"/>
    <w:rsid w:val="00CC1F9B"/>
    <w:rsid w:val="00CC2691"/>
    <w:rsid w:val="00CC273F"/>
    <w:rsid w:val="00CC2951"/>
    <w:rsid w:val="00CC35C5"/>
    <w:rsid w:val="00CC3719"/>
    <w:rsid w:val="00CC394F"/>
    <w:rsid w:val="00CC3997"/>
    <w:rsid w:val="00CC3C55"/>
    <w:rsid w:val="00CC3CDD"/>
    <w:rsid w:val="00CC428D"/>
    <w:rsid w:val="00CC440A"/>
    <w:rsid w:val="00CC555C"/>
    <w:rsid w:val="00CC57A5"/>
    <w:rsid w:val="00CC5B39"/>
    <w:rsid w:val="00CC6A61"/>
    <w:rsid w:val="00CD031A"/>
    <w:rsid w:val="00CD0D5D"/>
    <w:rsid w:val="00CD2915"/>
    <w:rsid w:val="00CD404D"/>
    <w:rsid w:val="00CD62B5"/>
    <w:rsid w:val="00CD6442"/>
    <w:rsid w:val="00CD6781"/>
    <w:rsid w:val="00CD6966"/>
    <w:rsid w:val="00CD74E6"/>
    <w:rsid w:val="00CD7F38"/>
    <w:rsid w:val="00CE00E6"/>
    <w:rsid w:val="00CE02CA"/>
    <w:rsid w:val="00CE1318"/>
    <w:rsid w:val="00CE19BF"/>
    <w:rsid w:val="00CE4A01"/>
    <w:rsid w:val="00CE4B70"/>
    <w:rsid w:val="00CE4C00"/>
    <w:rsid w:val="00CE4D2C"/>
    <w:rsid w:val="00CE4E8C"/>
    <w:rsid w:val="00CE594C"/>
    <w:rsid w:val="00CE5B05"/>
    <w:rsid w:val="00CE6299"/>
    <w:rsid w:val="00CE6846"/>
    <w:rsid w:val="00CE6D8E"/>
    <w:rsid w:val="00CE7543"/>
    <w:rsid w:val="00CE7706"/>
    <w:rsid w:val="00CE7814"/>
    <w:rsid w:val="00CE78E0"/>
    <w:rsid w:val="00CE7A46"/>
    <w:rsid w:val="00CF0006"/>
    <w:rsid w:val="00CF0589"/>
    <w:rsid w:val="00CF090B"/>
    <w:rsid w:val="00CF14C8"/>
    <w:rsid w:val="00CF1773"/>
    <w:rsid w:val="00CF3A42"/>
    <w:rsid w:val="00CF447D"/>
    <w:rsid w:val="00CF46C9"/>
    <w:rsid w:val="00CF4808"/>
    <w:rsid w:val="00CF4E27"/>
    <w:rsid w:val="00CF4FE5"/>
    <w:rsid w:val="00CF53B2"/>
    <w:rsid w:val="00CF5779"/>
    <w:rsid w:val="00CF578E"/>
    <w:rsid w:val="00CF5D34"/>
    <w:rsid w:val="00CF6A46"/>
    <w:rsid w:val="00CF6A53"/>
    <w:rsid w:val="00D00888"/>
    <w:rsid w:val="00D0271F"/>
    <w:rsid w:val="00D03A51"/>
    <w:rsid w:val="00D04027"/>
    <w:rsid w:val="00D0468E"/>
    <w:rsid w:val="00D04C76"/>
    <w:rsid w:val="00D04FDA"/>
    <w:rsid w:val="00D055DD"/>
    <w:rsid w:val="00D05ED9"/>
    <w:rsid w:val="00D06144"/>
    <w:rsid w:val="00D06B41"/>
    <w:rsid w:val="00D06F97"/>
    <w:rsid w:val="00D07045"/>
    <w:rsid w:val="00D073E4"/>
    <w:rsid w:val="00D108E9"/>
    <w:rsid w:val="00D134B8"/>
    <w:rsid w:val="00D13ADB"/>
    <w:rsid w:val="00D13DA0"/>
    <w:rsid w:val="00D147C8"/>
    <w:rsid w:val="00D14F63"/>
    <w:rsid w:val="00D150C5"/>
    <w:rsid w:val="00D16777"/>
    <w:rsid w:val="00D16948"/>
    <w:rsid w:val="00D16993"/>
    <w:rsid w:val="00D16FE2"/>
    <w:rsid w:val="00D17760"/>
    <w:rsid w:val="00D2012C"/>
    <w:rsid w:val="00D20515"/>
    <w:rsid w:val="00D20EB3"/>
    <w:rsid w:val="00D21512"/>
    <w:rsid w:val="00D21D5A"/>
    <w:rsid w:val="00D2212B"/>
    <w:rsid w:val="00D224CE"/>
    <w:rsid w:val="00D22B15"/>
    <w:rsid w:val="00D2347A"/>
    <w:rsid w:val="00D23751"/>
    <w:rsid w:val="00D23CBA"/>
    <w:rsid w:val="00D24191"/>
    <w:rsid w:val="00D244A4"/>
    <w:rsid w:val="00D24EBE"/>
    <w:rsid w:val="00D263F0"/>
    <w:rsid w:val="00D27C55"/>
    <w:rsid w:val="00D3013E"/>
    <w:rsid w:val="00D30306"/>
    <w:rsid w:val="00D311E3"/>
    <w:rsid w:val="00D31D3A"/>
    <w:rsid w:val="00D32763"/>
    <w:rsid w:val="00D32821"/>
    <w:rsid w:val="00D329EE"/>
    <w:rsid w:val="00D32BB1"/>
    <w:rsid w:val="00D3394E"/>
    <w:rsid w:val="00D33F40"/>
    <w:rsid w:val="00D34472"/>
    <w:rsid w:val="00D34620"/>
    <w:rsid w:val="00D3530A"/>
    <w:rsid w:val="00D3717C"/>
    <w:rsid w:val="00D37287"/>
    <w:rsid w:val="00D404DF"/>
    <w:rsid w:val="00D404EB"/>
    <w:rsid w:val="00D417C4"/>
    <w:rsid w:val="00D4376B"/>
    <w:rsid w:val="00D43B22"/>
    <w:rsid w:val="00D4425C"/>
    <w:rsid w:val="00D44546"/>
    <w:rsid w:val="00D45897"/>
    <w:rsid w:val="00D45A71"/>
    <w:rsid w:val="00D46764"/>
    <w:rsid w:val="00D469DC"/>
    <w:rsid w:val="00D472CE"/>
    <w:rsid w:val="00D477A5"/>
    <w:rsid w:val="00D502FA"/>
    <w:rsid w:val="00D5053D"/>
    <w:rsid w:val="00D5155D"/>
    <w:rsid w:val="00D51E2C"/>
    <w:rsid w:val="00D537BA"/>
    <w:rsid w:val="00D5410E"/>
    <w:rsid w:val="00D5506B"/>
    <w:rsid w:val="00D55338"/>
    <w:rsid w:val="00D564EA"/>
    <w:rsid w:val="00D56B73"/>
    <w:rsid w:val="00D57CA2"/>
    <w:rsid w:val="00D57CC7"/>
    <w:rsid w:val="00D6042D"/>
    <w:rsid w:val="00D605AE"/>
    <w:rsid w:val="00D61590"/>
    <w:rsid w:val="00D622F6"/>
    <w:rsid w:val="00D625CE"/>
    <w:rsid w:val="00D6276D"/>
    <w:rsid w:val="00D629C3"/>
    <w:rsid w:val="00D62A6C"/>
    <w:rsid w:val="00D63394"/>
    <w:rsid w:val="00D6350D"/>
    <w:rsid w:val="00D63D37"/>
    <w:rsid w:val="00D65C1C"/>
    <w:rsid w:val="00D661CB"/>
    <w:rsid w:val="00D662D4"/>
    <w:rsid w:val="00D66BA5"/>
    <w:rsid w:val="00D66C24"/>
    <w:rsid w:val="00D6753B"/>
    <w:rsid w:val="00D6755A"/>
    <w:rsid w:val="00D67AB1"/>
    <w:rsid w:val="00D67B9D"/>
    <w:rsid w:val="00D700A5"/>
    <w:rsid w:val="00D70248"/>
    <w:rsid w:val="00D719D2"/>
    <w:rsid w:val="00D71FFA"/>
    <w:rsid w:val="00D720EC"/>
    <w:rsid w:val="00D73799"/>
    <w:rsid w:val="00D74A43"/>
    <w:rsid w:val="00D75F01"/>
    <w:rsid w:val="00D767FB"/>
    <w:rsid w:val="00D76F80"/>
    <w:rsid w:val="00D76FE4"/>
    <w:rsid w:val="00D80A25"/>
    <w:rsid w:val="00D80A3B"/>
    <w:rsid w:val="00D81884"/>
    <w:rsid w:val="00D84D4C"/>
    <w:rsid w:val="00D855E4"/>
    <w:rsid w:val="00D87147"/>
    <w:rsid w:val="00D87498"/>
    <w:rsid w:val="00D879E2"/>
    <w:rsid w:val="00D903DD"/>
    <w:rsid w:val="00D9044D"/>
    <w:rsid w:val="00D9188B"/>
    <w:rsid w:val="00D91A69"/>
    <w:rsid w:val="00D92F0E"/>
    <w:rsid w:val="00D932B3"/>
    <w:rsid w:val="00D938D7"/>
    <w:rsid w:val="00D93B83"/>
    <w:rsid w:val="00D95710"/>
    <w:rsid w:val="00D9593A"/>
    <w:rsid w:val="00D95B76"/>
    <w:rsid w:val="00D9637E"/>
    <w:rsid w:val="00D969D8"/>
    <w:rsid w:val="00D96DCC"/>
    <w:rsid w:val="00D96E33"/>
    <w:rsid w:val="00DA0599"/>
    <w:rsid w:val="00DA0622"/>
    <w:rsid w:val="00DA0F88"/>
    <w:rsid w:val="00DA1429"/>
    <w:rsid w:val="00DA2044"/>
    <w:rsid w:val="00DA4079"/>
    <w:rsid w:val="00DA4344"/>
    <w:rsid w:val="00DA4365"/>
    <w:rsid w:val="00DA4578"/>
    <w:rsid w:val="00DA4CD5"/>
    <w:rsid w:val="00DA5150"/>
    <w:rsid w:val="00DA5990"/>
    <w:rsid w:val="00DA641E"/>
    <w:rsid w:val="00DA64C6"/>
    <w:rsid w:val="00DA7AA1"/>
    <w:rsid w:val="00DA7C36"/>
    <w:rsid w:val="00DA7D2B"/>
    <w:rsid w:val="00DB0061"/>
    <w:rsid w:val="00DB0B18"/>
    <w:rsid w:val="00DB2381"/>
    <w:rsid w:val="00DB281F"/>
    <w:rsid w:val="00DB29AE"/>
    <w:rsid w:val="00DB2D93"/>
    <w:rsid w:val="00DB3A64"/>
    <w:rsid w:val="00DB4275"/>
    <w:rsid w:val="00DB50D9"/>
    <w:rsid w:val="00DB5430"/>
    <w:rsid w:val="00DB5A14"/>
    <w:rsid w:val="00DB60C9"/>
    <w:rsid w:val="00DB7133"/>
    <w:rsid w:val="00DB779F"/>
    <w:rsid w:val="00DB7D0E"/>
    <w:rsid w:val="00DC0210"/>
    <w:rsid w:val="00DC0DA5"/>
    <w:rsid w:val="00DC15EA"/>
    <w:rsid w:val="00DC286C"/>
    <w:rsid w:val="00DC2BCB"/>
    <w:rsid w:val="00DC3BEB"/>
    <w:rsid w:val="00DC424E"/>
    <w:rsid w:val="00DC45B5"/>
    <w:rsid w:val="00DC49C3"/>
    <w:rsid w:val="00DC4EFA"/>
    <w:rsid w:val="00DC5A69"/>
    <w:rsid w:val="00DC66B7"/>
    <w:rsid w:val="00DC66FD"/>
    <w:rsid w:val="00DC67DC"/>
    <w:rsid w:val="00DC6DD2"/>
    <w:rsid w:val="00DC7475"/>
    <w:rsid w:val="00DC7AF6"/>
    <w:rsid w:val="00DC7B01"/>
    <w:rsid w:val="00DC7FD0"/>
    <w:rsid w:val="00DD09DD"/>
    <w:rsid w:val="00DD0C6A"/>
    <w:rsid w:val="00DD0C75"/>
    <w:rsid w:val="00DD0CF8"/>
    <w:rsid w:val="00DD10E7"/>
    <w:rsid w:val="00DD16AC"/>
    <w:rsid w:val="00DD1C36"/>
    <w:rsid w:val="00DD2289"/>
    <w:rsid w:val="00DD2CDE"/>
    <w:rsid w:val="00DD2E40"/>
    <w:rsid w:val="00DD36AC"/>
    <w:rsid w:val="00DD55B1"/>
    <w:rsid w:val="00DD5642"/>
    <w:rsid w:val="00DD5C06"/>
    <w:rsid w:val="00DD6CEE"/>
    <w:rsid w:val="00DE0E4E"/>
    <w:rsid w:val="00DE0E91"/>
    <w:rsid w:val="00DE11C3"/>
    <w:rsid w:val="00DE17B1"/>
    <w:rsid w:val="00DE1C89"/>
    <w:rsid w:val="00DE246E"/>
    <w:rsid w:val="00DE2A0E"/>
    <w:rsid w:val="00DE3A2B"/>
    <w:rsid w:val="00DE4A9D"/>
    <w:rsid w:val="00DE4D6A"/>
    <w:rsid w:val="00DE57C5"/>
    <w:rsid w:val="00DE6746"/>
    <w:rsid w:val="00DE6DEB"/>
    <w:rsid w:val="00DE774D"/>
    <w:rsid w:val="00DF0237"/>
    <w:rsid w:val="00DF023F"/>
    <w:rsid w:val="00DF0570"/>
    <w:rsid w:val="00DF16B2"/>
    <w:rsid w:val="00DF2210"/>
    <w:rsid w:val="00DF2DE3"/>
    <w:rsid w:val="00DF3D93"/>
    <w:rsid w:val="00DF4476"/>
    <w:rsid w:val="00DF4B8A"/>
    <w:rsid w:val="00DF7D64"/>
    <w:rsid w:val="00E00665"/>
    <w:rsid w:val="00E009D4"/>
    <w:rsid w:val="00E00F21"/>
    <w:rsid w:val="00E00FF4"/>
    <w:rsid w:val="00E011A1"/>
    <w:rsid w:val="00E01345"/>
    <w:rsid w:val="00E01F27"/>
    <w:rsid w:val="00E02983"/>
    <w:rsid w:val="00E035F1"/>
    <w:rsid w:val="00E05FB9"/>
    <w:rsid w:val="00E06184"/>
    <w:rsid w:val="00E063F9"/>
    <w:rsid w:val="00E070C1"/>
    <w:rsid w:val="00E10741"/>
    <w:rsid w:val="00E12440"/>
    <w:rsid w:val="00E12743"/>
    <w:rsid w:val="00E133E0"/>
    <w:rsid w:val="00E136F9"/>
    <w:rsid w:val="00E137C7"/>
    <w:rsid w:val="00E14081"/>
    <w:rsid w:val="00E14108"/>
    <w:rsid w:val="00E14227"/>
    <w:rsid w:val="00E145FA"/>
    <w:rsid w:val="00E147B8"/>
    <w:rsid w:val="00E14D81"/>
    <w:rsid w:val="00E173D6"/>
    <w:rsid w:val="00E1794B"/>
    <w:rsid w:val="00E17C63"/>
    <w:rsid w:val="00E21844"/>
    <w:rsid w:val="00E220F9"/>
    <w:rsid w:val="00E22445"/>
    <w:rsid w:val="00E22C4D"/>
    <w:rsid w:val="00E233F9"/>
    <w:rsid w:val="00E23B15"/>
    <w:rsid w:val="00E24248"/>
    <w:rsid w:val="00E2441C"/>
    <w:rsid w:val="00E24FC1"/>
    <w:rsid w:val="00E252B5"/>
    <w:rsid w:val="00E26C57"/>
    <w:rsid w:val="00E26F8A"/>
    <w:rsid w:val="00E273B9"/>
    <w:rsid w:val="00E276A6"/>
    <w:rsid w:val="00E277F0"/>
    <w:rsid w:val="00E300D6"/>
    <w:rsid w:val="00E3067C"/>
    <w:rsid w:val="00E3078F"/>
    <w:rsid w:val="00E3095C"/>
    <w:rsid w:val="00E30C26"/>
    <w:rsid w:val="00E311EF"/>
    <w:rsid w:val="00E31359"/>
    <w:rsid w:val="00E31504"/>
    <w:rsid w:val="00E31531"/>
    <w:rsid w:val="00E317A3"/>
    <w:rsid w:val="00E323C4"/>
    <w:rsid w:val="00E324BC"/>
    <w:rsid w:val="00E32BB4"/>
    <w:rsid w:val="00E3367E"/>
    <w:rsid w:val="00E33800"/>
    <w:rsid w:val="00E34ADD"/>
    <w:rsid w:val="00E3521F"/>
    <w:rsid w:val="00E3550C"/>
    <w:rsid w:val="00E35B13"/>
    <w:rsid w:val="00E36375"/>
    <w:rsid w:val="00E371B3"/>
    <w:rsid w:val="00E37439"/>
    <w:rsid w:val="00E3763A"/>
    <w:rsid w:val="00E378EF"/>
    <w:rsid w:val="00E37C07"/>
    <w:rsid w:val="00E37C31"/>
    <w:rsid w:val="00E406BF"/>
    <w:rsid w:val="00E409D2"/>
    <w:rsid w:val="00E40E08"/>
    <w:rsid w:val="00E41321"/>
    <w:rsid w:val="00E41453"/>
    <w:rsid w:val="00E41AB8"/>
    <w:rsid w:val="00E41EF5"/>
    <w:rsid w:val="00E421AE"/>
    <w:rsid w:val="00E441C8"/>
    <w:rsid w:val="00E4420E"/>
    <w:rsid w:val="00E44709"/>
    <w:rsid w:val="00E45A51"/>
    <w:rsid w:val="00E45CF2"/>
    <w:rsid w:val="00E470FE"/>
    <w:rsid w:val="00E479AC"/>
    <w:rsid w:val="00E50305"/>
    <w:rsid w:val="00E50843"/>
    <w:rsid w:val="00E50976"/>
    <w:rsid w:val="00E524CE"/>
    <w:rsid w:val="00E52A45"/>
    <w:rsid w:val="00E539CB"/>
    <w:rsid w:val="00E55231"/>
    <w:rsid w:val="00E554BE"/>
    <w:rsid w:val="00E56110"/>
    <w:rsid w:val="00E5711E"/>
    <w:rsid w:val="00E5722E"/>
    <w:rsid w:val="00E57908"/>
    <w:rsid w:val="00E57B7B"/>
    <w:rsid w:val="00E60D76"/>
    <w:rsid w:val="00E6234E"/>
    <w:rsid w:val="00E6324E"/>
    <w:rsid w:val="00E634F2"/>
    <w:rsid w:val="00E63759"/>
    <w:rsid w:val="00E63FC1"/>
    <w:rsid w:val="00E64BC7"/>
    <w:rsid w:val="00E64F90"/>
    <w:rsid w:val="00E64FCD"/>
    <w:rsid w:val="00E652C0"/>
    <w:rsid w:val="00E66052"/>
    <w:rsid w:val="00E72517"/>
    <w:rsid w:val="00E72F07"/>
    <w:rsid w:val="00E73902"/>
    <w:rsid w:val="00E739F3"/>
    <w:rsid w:val="00E74D64"/>
    <w:rsid w:val="00E7598D"/>
    <w:rsid w:val="00E760B6"/>
    <w:rsid w:val="00E76389"/>
    <w:rsid w:val="00E769E7"/>
    <w:rsid w:val="00E76DD6"/>
    <w:rsid w:val="00E77452"/>
    <w:rsid w:val="00E7771E"/>
    <w:rsid w:val="00E80A46"/>
    <w:rsid w:val="00E81563"/>
    <w:rsid w:val="00E8240E"/>
    <w:rsid w:val="00E8266E"/>
    <w:rsid w:val="00E8285B"/>
    <w:rsid w:val="00E83CB2"/>
    <w:rsid w:val="00E84104"/>
    <w:rsid w:val="00E84633"/>
    <w:rsid w:val="00E85CD9"/>
    <w:rsid w:val="00E86C03"/>
    <w:rsid w:val="00E87174"/>
    <w:rsid w:val="00E87618"/>
    <w:rsid w:val="00E879A2"/>
    <w:rsid w:val="00E9107E"/>
    <w:rsid w:val="00E91437"/>
    <w:rsid w:val="00E91C85"/>
    <w:rsid w:val="00E92147"/>
    <w:rsid w:val="00E92224"/>
    <w:rsid w:val="00E9234C"/>
    <w:rsid w:val="00E92EA2"/>
    <w:rsid w:val="00E9362C"/>
    <w:rsid w:val="00E93B02"/>
    <w:rsid w:val="00E93E10"/>
    <w:rsid w:val="00E94401"/>
    <w:rsid w:val="00E949D9"/>
    <w:rsid w:val="00E95AEB"/>
    <w:rsid w:val="00E963BB"/>
    <w:rsid w:val="00E96724"/>
    <w:rsid w:val="00E96B34"/>
    <w:rsid w:val="00E96CC6"/>
    <w:rsid w:val="00E96DD3"/>
    <w:rsid w:val="00E97620"/>
    <w:rsid w:val="00E97C7F"/>
    <w:rsid w:val="00EA0388"/>
    <w:rsid w:val="00EA0A8F"/>
    <w:rsid w:val="00EA1CE7"/>
    <w:rsid w:val="00EA1FCE"/>
    <w:rsid w:val="00EA2563"/>
    <w:rsid w:val="00EA289E"/>
    <w:rsid w:val="00EA2F7D"/>
    <w:rsid w:val="00EA2FA3"/>
    <w:rsid w:val="00EA2FDE"/>
    <w:rsid w:val="00EA310D"/>
    <w:rsid w:val="00EA3DE4"/>
    <w:rsid w:val="00EA3E36"/>
    <w:rsid w:val="00EA4E9A"/>
    <w:rsid w:val="00EA6639"/>
    <w:rsid w:val="00EA6DCA"/>
    <w:rsid w:val="00EA7640"/>
    <w:rsid w:val="00EB104D"/>
    <w:rsid w:val="00EB12F0"/>
    <w:rsid w:val="00EB13F9"/>
    <w:rsid w:val="00EB23F3"/>
    <w:rsid w:val="00EB28BA"/>
    <w:rsid w:val="00EB2E05"/>
    <w:rsid w:val="00EB399B"/>
    <w:rsid w:val="00EB3C63"/>
    <w:rsid w:val="00EB41D7"/>
    <w:rsid w:val="00EB4315"/>
    <w:rsid w:val="00EB4E4E"/>
    <w:rsid w:val="00EB56D9"/>
    <w:rsid w:val="00EB599B"/>
    <w:rsid w:val="00EB624D"/>
    <w:rsid w:val="00EB696F"/>
    <w:rsid w:val="00EB727F"/>
    <w:rsid w:val="00EB7B7E"/>
    <w:rsid w:val="00EC02DA"/>
    <w:rsid w:val="00EC036F"/>
    <w:rsid w:val="00EC04B8"/>
    <w:rsid w:val="00EC23D9"/>
    <w:rsid w:val="00EC2FA9"/>
    <w:rsid w:val="00EC34A6"/>
    <w:rsid w:val="00EC36EE"/>
    <w:rsid w:val="00EC4466"/>
    <w:rsid w:val="00EC4E94"/>
    <w:rsid w:val="00EC5B47"/>
    <w:rsid w:val="00EC5CCE"/>
    <w:rsid w:val="00EC7BA7"/>
    <w:rsid w:val="00ED0C49"/>
    <w:rsid w:val="00ED3573"/>
    <w:rsid w:val="00ED4DF3"/>
    <w:rsid w:val="00ED7384"/>
    <w:rsid w:val="00ED7413"/>
    <w:rsid w:val="00ED7794"/>
    <w:rsid w:val="00ED7A66"/>
    <w:rsid w:val="00EE046D"/>
    <w:rsid w:val="00EE0DD8"/>
    <w:rsid w:val="00EE14AC"/>
    <w:rsid w:val="00EE157C"/>
    <w:rsid w:val="00EE1D08"/>
    <w:rsid w:val="00EE27AC"/>
    <w:rsid w:val="00EE2B2B"/>
    <w:rsid w:val="00EE2DE4"/>
    <w:rsid w:val="00EE2E8C"/>
    <w:rsid w:val="00EE3883"/>
    <w:rsid w:val="00EE3FB5"/>
    <w:rsid w:val="00EE4EC3"/>
    <w:rsid w:val="00EE5F26"/>
    <w:rsid w:val="00EE6534"/>
    <w:rsid w:val="00EE67D9"/>
    <w:rsid w:val="00EE76AC"/>
    <w:rsid w:val="00EE7711"/>
    <w:rsid w:val="00EF06F7"/>
    <w:rsid w:val="00EF09E5"/>
    <w:rsid w:val="00EF274F"/>
    <w:rsid w:val="00EF30CF"/>
    <w:rsid w:val="00EF331F"/>
    <w:rsid w:val="00EF3646"/>
    <w:rsid w:val="00EF4C11"/>
    <w:rsid w:val="00EF5094"/>
    <w:rsid w:val="00EF63D1"/>
    <w:rsid w:val="00EF6B6D"/>
    <w:rsid w:val="00EF6DD6"/>
    <w:rsid w:val="00EF710F"/>
    <w:rsid w:val="00EF7B95"/>
    <w:rsid w:val="00F00916"/>
    <w:rsid w:val="00F02302"/>
    <w:rsid w:val="00F02DC8"/>
    <w:rsid w:val="00F032E4"/>
    <w:rsid w:val="00F039BD"/>
    <w:rsid w:val="00F03AA2"/>
    <w:rsid w:val="00F03CE8"/>
    <w:rsid w:val="00F04B9B"/>
    <w:rsid w:val="00F05D42"/>
    <w:rsid w:val="00F06A57"/>
    <w:rsid w:val="00F06C0C"/>
    <w:rsid w:val="00F1077A"/>
    <w:rsid w:val="00F10934"/>
    <w:rsid w:val="00F10C09"/>
    <w:rsid w:val="00F10CFF"/>
    <w:rsid w:val="00F121CC"/>
    <w:rsid w:val="00F122DA"/>
    <w:rsid w:val="00F124B3"/>
    <w:rsid w:val="00F13441"/>
    <w:rsid w:val="00F13519"/>
    <w:rsid w:val="00F15A45"/>
    <w:rsid w:val="00F15FDF"/>
    <w:rsid w:val="00F172BA"/>
    <w:rsid w:val="00F1774C"/>
    <w:rsid w:val="00F205EE"/>
    <w:rsid w:val="00F20F7A"/>
    <w:rsid w:val="00F21005"/>
    <w:rsid w:val="00F23FBF"/>
    <w:rsid w:val="00F23FC3"/>
    <w:rsid w:val="00F2478A"/>
    <w:rsid w:val="00F2488D"/>
    <w:rsid w:val="00F25D54"/>
    <w:rsid w:val="00F30A80"/>
    <w:rsid w:val="00F30B42"/>
    <w:rsid w:val="00F30C96"/>
    <w:rsid w:val="00F31ACF"/>
    <w:rsid w:val="00F32FD2"/>
    <w:rsid w:val="00F3358E"/>
    <w:rsid w:val="00F3435C"/>
    <w:rsid w:val="00F34A4A"/>
    <w:rsid w:val="00F35C07"/>
    <w:rsid w:val="00F36D09"/>
    <w:rsid w:val="00F371CE"/>
    <w:rsid w:val="00F37B14"/>
    <w:rsid w:val="00F37C85"/>
    <w:rsid w:val="00F40125"/>
    <w:rsid w:val="00F40FE4"/>
    <w:rsid w:val="00F43151"/>
    <w:rsid w:val="00F438C5"/>
    <w:rsid w:val="00F44B59"/>
    <w:rsid w:val="00F45725"/>
    <w:rsid w:val="00F45C62"/>
    <w:rsid w:val="00F46292"/>
    <w:rsid w:val="00F47BD4"/>
    <w:rsid w:val="00F5108C"/>
    <w:rsid w:val="00F5172C"/>
    <w:rsid w:val="00F51937"/>
    <w:rsid w:val="00F51FF2"/>
    <w:rsid w:val="00F5347B"/>
    <w:rsid w:val="00F538E1"/>
    <w:rsid w:val="00F53E5E"/>
    <w:rsid w:val="00F54A21"/>
    <w:rsid w:val="00F54D81"/>
    <w:rsid w:val="00F5658A"/>
    <w:rsid w:val="00F5697C"/>
    <w:rsid w:val="00F56C01"/>
    <w:rsid w:val="00F570DF"/>
    <w:rsid w:val="00F57100"/>
    <w:rsid w:val="00F61420"/>
    <w:rsid w:val="00F61431"/>
    <w:rsid w:val="00F61B41"/>
    <w:rsid w:val="00F62054"/>
    <w:rsid w:val="00F62E61"/>
    <w:rsid w:val="00F647B6"/>
    <w:rsid w:val="00F657DF"/>
    <w:rsid w:val="00F66776"/>
    <w:rsid w:val="00F6699F"/>
    <w:rsid w:val="00F66C89"/>
    <w:rsid w:val="00F674F4"/>
    <w:rsid w:val="00F709EE"/>
    <w:rsid w:val="00F70BEA"/>
    <w:rsid w:val="00F70D4F"/>
    <w:rsid w:val="00F71A40"/>
    <w:rsid w:val="00F71D2E"/>
    <w:rsid w:val="00F7264E"/>
    <w:rsid w:val="00F72747"/>
    <w:rsid w:val="00F728BF"/>
    <w:rsid w:val="00F7688C"/>
    <w:rsid w:val="00F77916"/>
    <w:rsid w:val="00F77AA8"/>
    <w:rsid w:val="00F77DBF"/>
    <w:rsid w:val="00F8054D"/>
    <w:rsid w:val="00F80CE6"/>
    <w:rsid w:val="00F8194F"/>
    <w:rsid w:val="00F81C15"/>
    <w:rsid w:val="00F82620"/>
    <w:rsid w:val="00F82F4B"/>
    <w:rsid w:val="00F831AB"/>
    <w:rsid w:val="00F85285"/>
    <w:rsid w:val="00F858AA"/>
    <w:rsid w:val="00F859B2"/>
    <w:rsid w:val="00F85A8F"/>
    <w:rsid w:val="00F86604"/>
    <w:rsid w:val="00F8679E"/>
    <w:rsid w:val="00F86978"/>
    <w:rsid w:val="00F86A53"/>
    <w:rsid w:val="00F87EB1"/>
    <w:rsid w:val="00F9042C"/>
    <w:rsid w:val="00F90719"/>
    <w:rsid w:val="00F908D6"/>
    <w:rsid w:val="00F90963"/>
    <w:rsid w:val="00F90ACC"/>
    <w:rsid w:val="00F90B53"/>
    <w:rsid w:val="00F91A3A"/>
    <w:rsid w:val="00F920C8"/>
    <w:rsid w:val="00F92A27"/>
    <w:rsid w:val="00F92BD7"/>
    <w:rsid w:val="00F939FD"/>
    <w:rsid w:val="00F93AC3"/>
    <w:rsid w:val="00F93C09"/>
    <w:rsid w:val="00F93ED9"/>
    <w:rsid w:val="00F93F57"/>
    <w:rsid w:val="00F947E8"/>
    <w:rsid w:val="00F94C05"/>
    <w:rsid w:val="00F953F8"/>
    <w:rsid w:val="00F960BE"/>
    <w:rsid w:val="00F96127"/>
    <w:rsid w:val="00F96A07"/>
    <w:rsid w:val="00F96B01"/>
    <w:rsid w:val="00F96CDA"/>
    <w:rsid w:val="00F96D57"/>
    <w:rsid w:val="00FA06E5"/>
    <w:rsid w:val="00FA1B08"/>
    <w:rsid w:val="00FA20EE"/>
    <w:rsid w:val="00FA36EF"/>
    <w:rsid w:val="00FA39D6"/>
    <w:rsid w:val="00FA4B2B"/>
    <w:rsid w:val="00FA5036"/>
    <w:rsid w:val="00FA5265"/>
    <w:rsid w:val="00FA56CB"/>
    <w:rsid w:val="00FA5CB0"/>
    <w:rsid w:val="00FA67A1"/>
    <w:rsid w:val="00FA6A51"/>
    <w:rsid w:val="00FA7026"/>
    <w:rsid w:val="00FA72B6"/>
    <w:rsid w:val="00FB09E8"/>
    <w:rsid w:val="00FB1448"/>
    <w:rsid w:val="00FB1F82"/>
    <w:rsid w:val="00FB4386"/>
    <w:rsid w:val="00FB4B73"/>
    <w:rsid w:val="00FB4F23"/>
    <w:rsid w:val="00FB5C54"/>
    <w:rsid w:val="00FB6C85"/>
    <w:rsid w:val="00FB6E39"/>
    <w:rsid w:val="00FB7468"/>
    <w:rsid w:val="00FB7BD7"/>
    <w:rsid w:val="00FB7BE4"/>
    <w:rsid w:val="00FC0A29"/>
    <w:rsid w:val="00FC0E1B"/>
    <w:rsid w:val="00FC0F16"/>
    <w:rsid w:val="00FC2C27"/>
    <w:rsid w:val="00FC2F4C"/>
    <w:rsid w:val="00FC3DA8"/>
    <w:rsid w:val="00FC426C"/>
    <w:rsid w:val="00FC4C9E"/>
    <w:rsid w:val="00FC5510"/>
    <w:rsid w:val="00FC61FE"/>
    <w:rsid w:val="00FC6604"/>
    <w:rsid w:val="00FC69E2"/>
    <w:rsid w:val="00FC7286"/>
    <w:rsid w:val="00FC7866"/>
    <w:rsid w:val="00FC7DD7"/>
    <w:rsid w:val="00FD0892"/>
    <w:rsid w:val="00FD0BF8"/>
    <w:rsid w:val="00FD20FD"/>
    <w:rsid w:val="00FD2188"/>
    <w:rsid w:val="00FD267C"/>
    <w:rsid w:val="00FD2FAD"/>
    <w:rsid w:val="00FD3C6D"/>
    <w:rsid w:val="00FD48B2"/>
    <w:rsid w:val="00FD4CEE"/>
    <w:rsid w:val="00FD526B"/>
    <w:rsid w:val="00FD5C60"/>
    <w:rsid w:val="00FD5C9F"/>
    <w:rsid w:val="00FD67B7"/>
    <w:rsid w:val="00FD72BB"/>
    <w:rsid w:val="00FD744B"/>
    <w:rsid w:val="00FE1C09"/>
    <w:rsid w:val="00FE1E15"/>
    <w:rsid w:val="00FE2060"/>
    <w:rsid w:val="00FE2240"/>
    <w:rsid w:val="00FE26B0"/>
    <w:rsid w:val="00FE2907"/>
    <w:rsid w:val="00FE29A0"/>
    <w:rsid w:val="00FE2E22"/>
    <w:rsid w:val="00FE335C"/>
    <w:rsid w:val="00FE3C4B"/>
    <w:rsid w:val="00FE3CC9"/>
    <w:rsid w:val="00FE4498"/>
    <w:rsid w:val="00FE49AC"/>
    <w:rsid w:val="00FE543B"/>
    <w:rsid w:val="00FE60BD"/>
    <w:rsid w:val="00FE6CD7"/>
    <w:rsid w:val="00FE6D27"/>
    <w:rsid w:val="00FE72B6"/>
    <w:rsid w:val="00FF0177"/>
    <w:rsid w:val="00FF01F2"/>
    <w:rsid w:val="00FF0D88"/>
    <w:rsid w:val="00FF1287"/>
    <w:rsid w:val="00FF147B"/>
    <w:rsid w:val="00FF23DD"/>
    <w:rsid w:val="00FF3AE5"/>
    <w:rsid w:val="00FF3B23"/>
    <w:rsid w:val="00FF3F91"/>
    <w:rsid w:val="00FF455C"/>
    <w:rsid w:val="00FF4640"/>
    <w:rsid w:val="00FF5043"/>
    <w:rsid w:val="00FF5235"/>
    <w:rsid w:val="00FF5512"/>
    <w:rsid w:val="00FF6E9B"/>
    <w:rsid w:val="00FF7126"/>
    <w:rsid w:val="00FF7678"/>
    <w:rsid w:val="00FF7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257">
      <o:colormenu v:ext="edit" fillcolor="none [2732]" strokecolor="none [2405]"/>
    </o:shapedefaults>
    <o:shapelayout v:ext="edit">
      <o:idmap v:ext="edit" data="1"/>
    </o:shapelayout>
  </w:shapeDefaults>
  <w:decimalSymbol w:val="."/>
  <w:listSeparator w:val=","/>
  <w14:docId w14:val="66F587D9"/>
  <w15:docId w15:val="{B8BF6343-6EBD-41FD-B803-F8D72529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sid w:val="00966D67"/>
    <w:pPr>
      <w:spacing w:after="240" w:line="276" w:lineRule="auto"/>
      <w:jc w:val="both"/>
    </w:pPr>
    <w:rPr>
      <w:rFonts w:ascii="Arial" w:hAnsi="Arial"/>
      <w:sz w:val="24"/>
      <w:lang w:eastAsia="en-US"/>
    </w:rPr>
  </w:style>
  <w:style w:type="paragraph" w:styleId="Heading1">
    <w:name w:val="heading 1"/>
    <w:basedOn w:val="Normal"/>
    <w:next w:val="Normal"/>
    <w:qFormat/>
    <w:rsid w:val="000D4901"/>
    <w:pPr>
      <w:keepNext/>
      <w:spacing w:before="240" w:after="60"/>
      <w:outlineLvl w:val="0"/>
    </w:pPr>
    <w:rPr>
      <w:rFonts w:cs="Arial"/>
      <w:b/>
      <w:bCs/>
      <w:color w:val="4BACC6"/>
      <w:kern w:val="32"/>
      <w:sz w:val="32"/>
      <w:szCs w:val="32"/>
    </w:rPr>
  </w:style>
  <w:style w:type="paragraph" w:styleId="Heading2">
    <w:name w:val="heading 2"/>
    <w:basedOn w:val="Normal"/>
    <w:next w:val="Normal"/>
    <w:autoRedefine/>
    <w:qFormat/>
    <w:rsid w:val="00140CAE"/>
    <w:pPr>
      <w:keepNext/>
      <w:spacing w:before="120"/>
      <w:jc w:val="left"/>
      <w:outlineLvl w:val="1"/>
    </w:pPr>
    <w:rPr>
      <w:rFonts w:cs="Arial"/>
      <w:bCs/>
      <w:iCs/>
      <w:color w:val="0070C0"/>
      <w:szCs w:val="24"/>
    </w:rPr>
  </w:style>
  <w:style w:type="paragraph" w:styleId="Heading3">
    <w:name w:val="heading 3"/>
    <w:basedOn w:val="Normal"/>
    <w:next w:val="Normal"/>
    <w:qFormat/>
    <w:rsid w:val="0098424F"/>
    <w:pPr>
      <w:keepNext/>
      <w:spacing w:before="120"/>
      <w:outlineLvl w:val="2"/>
    </w:pPr>
    <w:rPr>
      <w:rFonts w:cs="Arial"/>
      <w:bCs/>
      <w:color w:val="4BACC6"/>
      <w:szCs w:val="26"/>
    </w:rPr>
  </w:style>
  <w:style w:type="paragraph" w:styleId="Heading5">
    <w:name w:val="heading 5"/>
    <w:basedOn w:val="Normal"/>
    <w:next w:val="Normal"/>
    <w:qFormat/>
    <w:rsid w:val="00C51A3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55B1"/>
  </w:style>
  <w:style w:type="character" w:customStyle="1" w:styleId="BodyTextChar">
    <w:name w:val="Body Text Char"/>
    <w:basedOn w:val="DefaultParagraphFont"/>
    <w:link w:val="BodyText"/>
    <w:uiPriority w:val="99"/>
    <w:rsid w:val="00D720EC"/>
    <w:rPr>
      <w:rFonts w:ascii="Arial" w:hAnsi="Arial"/>
      <w:sz w:val="22"/>
      <w:lang w:eastAsia="en-US"/>
    </w:rPr>
  </w:style>
  <w:style w:type="paragraph" w:customStyle="1" w:styleId="PaperHeadings">
    <w:name w:val="Paper Headings"/>
    <w:basedOn w:val="Heading2"/>
    <w:next w:val="Normal"/>
    <w:rsid w:val="00DD55B1"/>
    <w:pPr>
      <w:outlineLvl w:val="9"/>
    </w:pPr>
    <w:rPr>
      <w:rFonts w:cs="Times New Roman"/>
      <w:bCs w:val="0"/>
      <w:iCs w:val="0"/>
      <w:szCs w:val="20"/>
    </w:rPr>
  </w:style>
  <w:style w:type="table" w:styleId="TableGrid">
    <w:name w:val="Table Grid"/>
    <w:basedOn w:val="TableNormal"/>
    <w:uiPriority w:val="59"/>
    <w:rsid w:val="00E36375"/>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2A6FE9"/>
  </w:style>
  <w:style w:type="character" w:styleId="FootnoteReference">
    <w:name w:val="footnote reference"/>
    <w:basedOn w:val="DefaultParagraphFont"/>
    <w:semiHidden/>
    <w:rsid w:val="002A6FE9"/>
    <w:rPr>
      <w:vertAlign w:val="superscript"/>
    </w:rPr>
  </w:style>
  <w:style w:type="paragraph" w:styleId="TOC1">
    <w:name w:val="toc 1"/>
    <w:basedOn w:val="Normal"/>
    <w:next w:val="Normal"/>
    <w:autoRedefine/>
    <w:uiPriority w:val="39"/>
    <w:rsid w:val="00E41AB8"/>
    <w:pPr>
      <w:tabs>
        <w:tab w:val="left" w:pos="540"/>
        <w:tab w:val="right" w:pos="8647"/>
      </w:tabs>
      <w:spacing w:after="0"/>
    </w:pPr>
    <w:rPr>
      <w:rFonts w:ascii="Arial Narrow" w:hAnsi="Arial Narrow"/>
      <w:b/>
      <w:noProof/>
      <w:color w:val="0070C0"/>
    </w:rPr>
  </w:style>
  <w:style w:type="paragraph" w:styleId="TOC2">
    <w:name w:val="toc 2"/>
    <w:basedOn w:val="Normal"/>
    <w:next w:val="Normal"/>
    <w:autoRedefine/>
    <w:uiPriority w:val="39"/>
    <w:rsid w:val="00A83D07"/>
    <w:pPr>
      <w:tabs>
        <w:tab w:val="left" w:pos="960"/>
        <w:tab w:val="left" w:pos="1843"/>
        <w:tab w:val="right" w:leader="dot" w:pos="8630"/>
      </w:tabs>
      <w:spacing w:after="0"/>
      <w:ind w:left="1843" w:hanging="1843"/>
    </w:pPr>
  </w:style>
  <w:style w:type="paragraph" w:styleId="TOC3">
    <w:name w:val="toc 3"/>
    <w:basedOn w:val="Normal"/>
    <w:next w:val="Normal"/>
    <w:autoRedefine/>
    <w:uiPriority w:val="39"/>
    <w:rsid w:val="00637FD6"/>
    <w:pPr>
      <w:tabs>
        <w:tab w:val="left" w:pos="1440"/>
        <w:tab w:val="right" w:leader="dot" w:pos="8630"/>
      </w:tabs>
      <w:spacing w:after="0"/>
      <w:ind w:left="540"/>
    </w:pPr>
  </w:style>
  <w:style w:type="character" w:styleId="Hyperlink">
    <w:name w:val="Hyperlink"/>
    <w:basedOn w:val="DefaultParagraphFont"/>
    <w:uiPriority w:val="99"/>
    <w:rsid w:val="0078027F"/>
    <w:rPr>
      <w:color w:val="0000FF"/>
      <w:u w:val="single"/>
    </w:rPr>
  </w:style>
  <w:style w:type="paragraph" w:styleId="Header">
    <w:name w:val="header"/>
    <w:basedOn w:val="Normal"/>
    <w:link w:val="HeaderChar"/>
    <w:uiPriority w:val="99"/>
    <w:rsid w:val="0078027F"/>
    <w:pPr>
      <w:tabs>
        <w:tab w:val="center" w:pos="4320"/>
        <w:tab w:val="right" w:pos="8640"/>
      </w:tabs>
    </w:pPr>
  </w:style>
  <w:style w:type="character" w:customStyle="1" w:styleId="HeaderChar">
    <w:name w:val="Header Char"/>
    <w:basedOn w:val="DefaultParagraphFont"/>
    <w:link w:val="Header"/>
    <w:uiPriority w:val="99"/>
    <w:rsid w:val="00942B3D"/>
    <w:rPr>
      <w:rFonts w:ascii="Arial" w:hAnsi="Arial"/>
      <w:sz w:val="22"/>
      <w:lang w:eastAsia="en-US"/>
    </w:rPr>
  </w:style>
  <w:style w:type="paragraph" w:styleId="Footer">
    <w:name w:val="footer"/>
    <w:basedOn w:val="Normal"/>
    <w:link w:val="FooterChar"/>
    <w:uiPriority w:val="99"/>
    <w:rsid w:val="0078027F"/>
    <w:pPr>
      <w:tabs>
        <w:tab w:val="center" w:pos="4320"/>
        <w:tab w:val="right" w:pos="8640"/>
      </w:tabs>
    </w:pPr>
  </w:style>
  <w:style w:type="character" w:customStyle="1" w:styleId="FooterChar">
    <w:name w:val="Footer Char"/>
    <w:basedOn w:val="DefaultParagraphFont"/>
    <w:link w:val="Footer"/>
    <w:uiPriority w:val="99"/>
    <w:rsid w:val="00841A6F"/>
    <w:rPr>
      <w:rFonts w:ascii="Arial" w:hAnsi="Arial"/>
      <w:sz w:val="22"/>
      <w:lang w:eastAsia="en-US"/>
    </w:rPr>
  </w:style>
  <w:style w:type="character" w:styleId="PageNumber">
    <w:name w:val="page number"/>
    <w:basedOn w:val="DefaultParagraphFont"/>
    <w:rsid w:val="0078027F"/>
  </w:style>
  <w:style w:type="paragraph" w:styleId="BalloonText">
    <w:name w:val="Balloon Text"/>
    <w:basedOn w:val="Normal"/>
    <w:semiHidden/>
    <w:rsid w:val="00637FD6"/>
    <w:rPr>
      <w:rFonts w:ascii="Tahoma" w:hAnsi="Tahoma" w:cs="Tahoma"/>
      <w:sz w:val="16"/>
      <w:szCs w:val="16"/>
    </w:rPr>
  </w:style>
  <w:style w:type="paragraph" w:styleId="BodyTextIndent">
    <w:name w:val="Body Text Indent"/>
    <w:basedOn w:val="Normal"/>
    <w:rsid w:val="002341D0"/>
    <w:pPr>
      <w:spacing w:after="120"/>
      <w:ind w:left="283"/>
    </w:pPr>
  </w:style>
  <w:style w:type="paragraph" w:customStyle="1" w:styleId="TableText2">
    <w:name w:val="Table Text 2"/>
    <w:basedOn w:val="Normal"/>
    <w:rsid w:val="00C1211D"/>
    <w:pPr>
      <w:spacing w:before="40" w:after="40"/>
      <w:jc w:val="left"/>
    </w:pPr>
    <w:rPr>
      <w:sz w:val="18"/>
      <w:szCs w:val="18"/>
    </w:rPr>
  </w:style>
  <w:style w:type="paragraph" w:styleId="BodyText3">
    <w:name w:val="Body Text 3"/>
    <w:basedOn w:val="Normal"/>
    <w:rsid w:val="00C51A30"/>
    <w:pPr>
      <w:spacing w:after="120"/>
    </w:pPr>
    <w:rPr>
      <w:sz w:val="16"/>
      <w:szCs w:val="16"/>
    </w:rPr>
  </w:style>
  <w:style w:type="character" w:customStyle="1" w:styleId="Heading2Char">
    <w:name w:val="Heading 2 Char"/>
    <w:aliases w:val="Reset numbering Char,o Char,h2 Char,2m Char,h 2 Char,H2 Char,Section Char"/>
    <w:basedOn w:val="DefaultParagraphFont"/>
    <w:rsid w:val="00C51A30"/>
    <w:rPr>
      <w:rFonts w:ascii="Arial" w:hAnsi="Arial"/>
      <w:b/>
      <w:i/>
      <w:sz w:val="24"/>
      <w:lang w:val="en-AU" w:eastAsia="en-US" w:bidi="ar-SA"/>
    </w:rPr>
  </w:style>
  <w:style w:type="character" w:styleId="CommentReference">
    <w:name w:val="annotation reference"/>
    <w:basedOn w:val="DefaultParagraphFont"/>
    <w:uiPriority w:val="99"/>
    <w:semiHidden/>
    <w:rsid w:val="00BE03D3"/>
    <w:rPr>
      <w:sz w:val="16"/>
      <w:szCs w:val="16"/>
    </w:rPr>
  </w:style>
  <w:style w:type="paragraph" w:styleId="CommentText">
    <w:name w:val="annotation text"/>
    <w:basedOn w:val="Normal"/>
    <w:link w:val="CommentTextChar"/>
    <w:semiHidden/>
    <w:rsid w:val="00BE03D3"/>
  </w:style>
  <w:style w:type="paragraph" w:styleId="CommentSubject">
    <w:name w:val="annotation subject"/>
    <w:basedOn w:val="CommentText"/>
    <w:next w:val="CommentText"/>
    <w:semiHidden/>
    <w:rsid w:val="00BE03D3"/>
    <w:rPr>
      <w:b/>
      <w:bCs/>
    </w:rPr>
  </w:style>
  <w:style w:type="paragraph" w:customStyle="1" w:styleId="Paragraph">
    <w:name w:val="Paragraph"/>
    <w:basedOn w:val="Normal"/>
    <w:rsid w:val="00727CEA"/>
    <w:pPr>
      <w:jc w:val="left"/>
    </w:pPr>
    <w:rPr>
      <w:lang w:eastAsia="en-AU"/>
    </w:rPr>
  </w:style>
  <w:style w:type="paragraph" w:styleId="Title">
    <w:name w:val="Title"/>
    <w:basedOn w:val="Normal"/>
    <w:qFormat/>
    <w:rsid w:val="00626F73"/>
    <w:pPr>
      <w:widowControl w:val="0"/>
      <w:spacing w:after="0"/>
      <w:jc w:val="center"/>
    </w:pPr>
    <w:rPr>
      <w:b/>
      <w:snapToGrid w:val="0"/>
      <w:sz w:val="32"/>
    </w:rPr>
  </w:style>
  <w:style w:type="paragraph" w:customStyle="1" w:styleId="TableRow">
    <w:name w:val="Table Row"/>
    <w:basedOn w:val="Normal"/>
    <w:rsid w:val="005D5829"/>
    <w:pPr>
      <w:spacing w:before="60" w:after="60" w:line="240" w:lineRule="atLeast"/>
      <w:jc w:val="left"/>
    </w:pPr>
    <w:rPr>
      <w:szCs w:val="18"/>
    </w:rPr>
  </w:style>
  <w:style w:type="paragraph" w:styleId="DocumentMap">
    <w:name w:val="Document Map"/>
    <w:basedOn w:val="Normal"/>
    <w:link w:val="DocumentMapChar"/>
    <w:rsid w:val="00F90B53"/>
    <w:pPr>
      <w:spacing w:after="0"/>
    </w:pPr>
    <w:rPr>
      <w:rFonts w:ascii="Tahoma" w:hAnsi="Tahoma" w:cs="Tahoma"/>
      <w:sz w:val="16"/>
      <w:szCs w:val="16"/>
    </w:rPr>
  </w:style>
  <w:style w:type="character" w:customStyle="1" w:styleId="DocumentMapChar">
    <w:name w:val="Document Map Char"/>
    <w:basedOn w:val="DefaultParagraphFont"/>
    <w:link w:val="DocumentMap"/>
    <w:rsid w:val="00F90B53"/>
    <w:rPr>
      <w:rFonts w:ascii="Tahoma" w:hAnsi="Tahoma" w:cs="Tahoma"/>
      <w:sz w:val="16"/>
      <w:szCs w:val="16"/>
      <w:lang w:eastAsia="en-US"/>
    </w:rPr>
  </w:style>
  <w:style w:type="paragraph" w:styleId="ListParagraph">
    <w:name w:val="List Paragraph"/>
    <w:basedOn w:val="Normal"/>
    <w:uiPriority w:val="34"/>
    <w:qFormat/>
    <w:rsid w:val="002073C1"/>
    <w:pPr>
      <w:ind w:left="720"/>
      <w:contextualSpacing/>
    </w:pPr>
  </w:style>
  <w:style w:type="character" w:styleId="PlaceholderText">
    <w:name w:val="Placeholder Text"/>
    <w:basedOn w:val="DefaultParagraphFont"/>
    <w:uiPriority w:val="99"/>
    <w:semiHidden/>
    <w:rsid w:val="0084523F"/>
    <w:rPr>
      <w:color w:val="808080"/>
    </w:rPr>
  </w:style>
  <w:style w:type="paragraph" w:customStyle="1" w:styleId="paragraph0">
    <w:name w:val="paragraph"/>
    <w:basedOn w:val="Normal"/>
    <w:rsid w:val="000F5092"/>
    <w:pPr>
      <w:spacing w:before="100" w:beforeAutospacing="1" w:after="100" w:afterAutospacing="1"/>
      <w:jc w:val="left"/>
    </w:pPr>
    <w:rPr>
      <w:rFonts w:ascii="Times New Roman" w:hAnsi="Times New Roman"/>
      <w:szCs w:val="24"/>
      <w:lang w:val="en-US"/>
    </w:rPr>
  </w:style>
  <w:style w:type="paragraph" w:styleId="NormalWeb">
    <w:name w:val="Normal (Web)"/>
    <w:basedOn w:val="Normal"/>
    <w:uiPriority w:val="99"/>
    <w:unhideWhenUsed/>
    <w:rsid w:val="00C371B5"/>
    <w:pPr>
      <w:spacing w:before="100" w:beforeAutospacing="1" w:after="100" w:afterAutospacing="1"/>
      <w:jc w:val="left"/>
    </w:pPr>
    <w:rPr>
      <w:rFonts w:ascii="Times New Roman" w:hAnsi="Times New Roman"/>
      <w:szCs w:val="24"/>
      <w:lang w:val="en-US"/>
    </w:rPr>
  </w:style>
  <w:style w:type="character" w:styleId="FollowedHyperlink">
    <w:name w:val="FollowedHyperlink"/>
    <w:basedOn w:val="DefaultParagraphFont"/>
    <w:uiPriority w:val="99"/>
    <w:rsid w:val="000F18A2"/>
    <w:rPr>
      <w:color w:val="800080" w:themeColor="followedHyperlink"/>
      <w:u w:val="single"/>
    </w:rPr>
  </w:style>
  <w:style w:type="paragraph" w:styleId="EndnoteText">
    <w:name w:val="endnote text"/>
    <w:basedOn w:val="Normal"/>
    <w:link w:val="EndnoteTextChar"/>
    <w:rsid w:val="00476D32"/>
    <w:pPr>
      <w:spacing w:after="0"/>
    </w:pPr>
  </w:style>
  <w:style w:type="character" w:customStyle="1" w:styleId="EndnoteTextChar">
    <w:name w:val="Endnote Text Char"/>
    <w:basedOn w:val="DefaultParagraphFont"/>
    <w:link w:val="EndnoteText"/>
    <w:rsid w:val="00476D32"/>
    <w:rPr>
      <w:rFonts w:ascii="Arial" w:hAnsi="Arial"/>
      <w:lang w:eastAsia="en-US"/>
    </w:rPr>
  </w:style>
  <w:style w:type="character" w:styleId="EndnoteReference">
    <w:name w:val="endnote reference"/>
    <w:basedOn w:val="DefaultParagraphFont"/>
    <w:rsid w:val="00476D32"/>
    <w:rPr>
      <w:vertAlign w:val="superscript"/>
    </w:rPr>
  </w:style>
  <w:style w:type="table" w:customStyle="1" w:styleId="TableGrid1">
    <w:name w:val="Table Grid1"/>
    <w:basedOn w:val="TableNormal"/>
    <w:next w:val="TableGrid"/>
    <w:uiPriority w:val="59"/>
    <w:rsid w:val="00410552"/>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11">
    <w:name w:val="Medium Shading 1 - Accent 11"/>
    <w:basedOn w:val="TableNormal"/>
    <w:uiPriority w:val="63"/>
    <w:rsid w:val="001909B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1909B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2">
    <w:name w:val="Medium List 2 Accent 2"/>
    <w:basedOn w:val="TableNormal"/>
    <w:uiPriority w:val="66"/>
    <w:rsid w:val="0036249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63"/>
    <w:rsid w:val="004A01F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14D81"/>
    <w:rPr>
      <w:rFonts w:ascii="Arial" w:hAnsi="Aria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cPr>
      <w:shd w:val="clear" w:color="auto" w:fill="A7BFDE"/>
    </w:tc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Pr/>
      <w:tcPr>
        <w:shd w:val="clear" w:color="auto" w:fill="4BACC6"/>
      </w:tcPr>
    </w:tblStylePr>
    <w:tblStylePr w:type="lastCol">
      <w:rPr>
        <w:b/>
        <w:bCs/>
      </w:rPr>
      <w:tblPr/>
      <w:tcPr>
        <w:shd w:val="clear" w:color="auto" w:fill="4BACC6"/>
      </w:tc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31508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6">
    <w:name w:val="Medium List 2 Accent 6"/>
    <w:basedOn w:val="TableNormal"/>
    <w:uiPriority w:val="66"/>
    <w:rsid w:val="009A21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A21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A965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5">
    <w:name w:val="Medium Grid 1 Accent 5"/>
    <w:basedOn w:val="TableNormal"/>
    <w:uiPriority w:val="67"/>
    <w:rsid w:val="00B9774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NoList1">
    <w:name w:val="No List1"/>
    <w:next w:val="NoList"/>
    <w:uiPriority w:val="99"/>
    <w:semiHidden/>
    <w:unhideWhenUsed/>
    <w:rsid w:val="00767D29"/>
  </w:style>
  <w:style w:type="paragraph" w:customStyle="1" w:styleId="xl65">
    <w:name w:val="xl65"/>
    <w:basedOn w:val="Normal"/>
    <w:rsid w:val="00767D29"/>
    <w:pPr>
      <w:spacing w:before="100" w:beforeAutospacing="1" w:after="100" w:afterAutospacing="1"/>
      <w:jc w:val="left"/>
    </w:pPr>
    <w:rPr>
      <w:rFonts w:ascii="Times New Roman" w:hAnsi="Times New Roman"/>
      <w:szCs w:val="24"/>
      <w:lang w:eastAsia="en-AU"/>
    </w:rPr>
  </w:style>
  <w:style w:type="paragraph" w:customStyle="1" w:styleId="xl66">
    <w:name w:val="xl66"/>
    <w:basedOn w:val="Normal"/>
    <w:rsid w:val="00767D29"/>
    <w:pPr>
      <w:pBdr>
        <w:bottom w:val="single" w:sz="8" w:space="0" w:color="FFFFFF"/>
        <w:right w:val="single" w:sz="8" w:space="0" w:color="FFFFFF"/>
      </w:pBdr>
      <w:spacing w:before="100" w:beforeAutospacing="1" w:after="100" w:afterAutospacing="1"/>
      <w:jc w:val="center"/>
      <w:textAlignment w:val="center"/>
    </w:pPr>
    <w:rPr>
      <w:rFonts w:ascii="Arial Narrow" w:hAnsi="Arial Narrow"/>
      <w:szCs w:val="24"/>
      <w:lang w:eastAsia="en-AU"/>
    </w:rPr>
  </w:style>
  <w:style w:type="paragraph" w:customStyle="1" w:styleId="xl67">
    <w:name w:val="xl67"/>
    <w:basedOn w:val="Normal"/>
    <w:rsid w:val="00767D29"/>
    <w:pPr>
      <w:pBdr>
        <w:bottom w:val="single" w:sz="8" w:space="0" w:color="FFFFFF"/>
        <w:right w:val="single" w:sz="8" w:space="0" w:color="FFFFFF"/>
      </w:pBdr>
      <w:spacing w:before="100" w:beforeAutospacing="1" w:after="100" w:afterAutospacing="1"/>
      <w:jc w:val="left"/>
      <w:textAlignment w:val="center"/>
    </w:pPr>
    <w:rPr>
      <w:rFonts w:ascii="Arial Narrow" w:hAnsi="Arial Narrow"/>
      <w:szCs w:val="24"/>
      <w:lang w:eastAsia="en-AU"/>
    </w:rPr>
  </w:style>
  <w:style w:type="paragraph" w:customStyle="1" w:styleId="xl68">
    <w:name w:val="xl68"/>
    <w:basedOn w:val="Normal"/>
    <w:rsid w:val="00767D29"/>
    <w:pPr>
      <w:pBdr>
        <w:bottom w:val="single" w:sz="8" w:space="0" w:color="FFFFFF"/>
        <w:right w:val="single" w:sz="8" w:space="0" w:color="FFFFFF"/>
      </w:pBdr>
      <w:spacing w:before="100" w:beforeAutospacing="1" w:after="100" w:afterAutospacing="1"/>
      <w:jc w:val="center"/>
      <w:textAlignment w:val="center"/>
    </w:pPr>
    <w:rPr>
      <w:rFonts w:ascii="Arial Narrow" w:hAnsi="Arial Narrow"/>
      <w:szCs w:val="24"/>
      <w:lang w:eastAsia="en-AU"/>
    </w:rPr>
  </w:style>
  <w:style w:type="paragraph" w:customStyle="1" w:styleId="xl69">
    <w:name w:val="xl69"/>
    <w:basedOn w:val="Normal"/>
    <w:rsid w:val="00767D29"/>
    <w:pPr>
      <w:pBdr>
        <w:bottom w:val="single" w:sz="8" w:space="0" w:color="FFFFFF"/>
        <w:right w:val="single" w:sz="8" w:space="0" w:color="FFFFFF"/>
      </w:pBdr>
      <w:spacing w:before="100" w:beforeAutospacing="1" w:after="100" w:afterAutospacing="1"/>
      <w:jc w:val="left"/>
    </w:pPr>
    <w:rPr>
      <w:rFonts w:ascii="Times New Roman" w:hAnsi="Times New Roman"/>
      <w:szCs w:val="24"/>
      <w:lang w:eastAsia="en-AU"/>
    </w:rPr>
  </w:style>
  <w:style w:type="paragraph" w:customStyle="1" w:styleId="xl70">
    <w:name w:val="xl70"/>
    <w:basedOn w:val="Normal"/>
    <w:rsid w:val="00767D29"/>
    <w:pPr>
      <w:pBdr>
        <w:bottom w:val="single" w:sz="8" w:space="0" w:color="FFFFFF"/>
        <w:right w:val="single" w:sz="8" w:space="0" w:color="FFFFFF"/>
      </w:pBdr>
      <w:spacing w:before="100" w:beforeAutospacing="1" w:after="100" w:afterAutospacing="1"/>
      <w:jc w:val="left"/>
    </w:pPr>
    <w:rPr>
      <w:rFonts w:ascii="Times New Roman" w:hAnsi="Times New Roman"/>
      <w:szCs w:val="24"/>
      <w:lang w:eastAsia="en-AU"/>
    </w:rPr>
  </w:style>
  <w:style w:type="paragraph" w:customStyle="1" w:styleId="xl71">
    <w:name w:val="xl71"/>
    <w:basedOn w:val="Normal"/>
    <w:rsid w:val="00767D29"/>
    <w:pPr>
      <w:spacing w:before="100" w:beforeAutospacing="1" w:after="100" w:afterAutospacing="1"/>
      <w:jc w:val="left"/>
      <w:textAlignment w:val="center"/>
    </w:pPr>
    <w:rPr>
      <w:rFonts w:ascii="Arial Narrow" w:hAnsi="Arial Narrow"/>
      <w:szCs w:val="24"/>
      <w:lang w:eastAsia="en-AU"/>
    </w:rPr>
  </w:style>
  <w:style w:type="paragraph" w:customStyle="1" w:styleId="xl72">
    <w:name w:val="xl72"/>
    <w:basedOn w:val="Normal"/>
    <w:rsid w:val="00767D29"/>
    <w:pPr>
      <w:spacing w:before="100" w:beforeAutospacing="1" w:after="100" w:afterAutospacing="1"/>
      <w:jc w:val="center"/>
      <w:textAlignment w:val="center"/>
    </w:pPr>
    <w:rPr>
      <w:rFonts w:ascii="Arial Narrow" w:hAnsi="Arial Narrow"/>
      <w:szCs w:val="24"/>
      <w:lang w:eastAsia="en-AU"/>
    </w:rPr>
  </w:style>
  <w:style w:type="paragraph" w:customStyle="1" w:styleId="xl73">
    <w:name w:val="xl73"/>
    <w:basedOn w:val="Normal"/>
    <w:rsid w:val="00767D29"/>
    <w:pPr>
      <w:spacing w:before="100" w:beforeAutospacing="1" w:after="100" w:afterAutospacing="1"/>
      <w:jc w:val="center"/>
      <w:textAlignment w:val="center"/>
    </w:pPr>
    <w:rPr>
      <w:rFonts w:ascii="Arial Narrow" w:hAnsi="Arial Narrow"/>
      <w:szCs w:val="24"/>
      <w:lang w:eastAsia="en-AU"/>
    </w:rPr>
  </w:style>
  <w:style w:type="paragraph" w:customStyle="1" w:styleId="xl74">
    <w:name w:val="xl74"/>
    <w:basedOn w:val="Normal"/>
    <w:rsid w:val="00767D29"/>
    <w:pPr>
      <w:spacing w:before="100" w:beforeAutospacing="1" w:after="100" w:afterAutospacing="1"/>
      <w:jc w:val="left"/>
    </w:pPr>
    <w:rPr>
      <w:rFonts w:ascii="Times New Roman" w:hAnsi="Times New Roman"/>
      <w:szCs w:val="24"/>
      <w:lang w:eastAsia="en-AU"/>
    </w:rPr>
  </w:style>
  <w:style w:type="paragraph" w:customStyle="1" w:styleId="xl77">
    <w:name w:val="xl77"/>
    <w:basedOn w:val="Normal"/>
    <w:rsid w:val="0020321A"/>
    <w:pPr>
      <w:pBdr>
        <w:top w:val="single" w:sz="8" w:space="0" w:color="FFFFFF"/>
        <w:left w:val="single" w:sz="8" w:space="0" w:color="FFFFFF"/>
        <w:bottom w:val="single" w:sz="12" w:space="0" w:color="FFFFFF"/>
        <w:right w:val="single" w:sz="8" w:space="0" w:color="FFFFFF"/>
      </w:pBdr>
      <w:shd w:val="clear" w:color="000000" w:fill="4BACC6"/>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78">
    <w:name w:val="xl78"/>
    <w:basedOn w:val="Normal"/>
    <w:rsid w:val="0020321A"/>
    <w:pPr>
      <w:pBdr>
        <w:top w:val="single" w:sz="8" w:space="0" w:color="FFFFFF"/>
        <w:bottom w:val="single" w:sz="12" w:space="0" w:color="FFFFFF"/>
        <w:right w:val="single" w:sz="8" w:space="0" w:color="FFFFFF"/>
      </w:pBdr>
      <w:shd w:val="clear" w:color="000000" w:fill="4BACC6"/>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79">
    <w:name w:val="xl79"/>
    <w:basedOn w:val="Normal"/>
    <w:rsid w:val="0020321A"/>
    <w:pPr>
      <w:pBdr>
        <w:top w:val="single" w:sz="8" w:space="0" w:color="FFFFFF"/>
        <w:bottom w:val="single" w:sz="12" w:space="0" w:color="FFFFFF"/>
        <w:right w:val="single" w:sz="8" w:space="0" w:color="FFFFFF"/>
      </w:pBdr>
      <w:shd w:val="clear" w:color="000000" w:fill="4BACC6"/>
      <w:spacing w:before="100" w:beforeAutospacing="1" w:after="100" w:afterAutospacing="1"/>
      <w:jc w:val="center"/>
      <w:textAlignment w:val="center"/>
    </w:pPr>
    <w:rPr>
      <w:rFonts w:ascii="Arial Narrow" w:hAnsi="Arial Narrow"/>
      <w:b/>
      <w:bCs/>
      <w:color w:val="FFFFFF"/>
      <w:szCs w:val="24"/>
      <w:lang w:eastAsia="en-AU"/>
    </w:rPr>
  </w:style>
  <w:style w:type="paragraph" w:customStyle="1" w:styleId="xl80">
    <w:name w:val="xl80"/>
    <w:basedOn w:val="Normal"/>
    <w:rsid w:val="0020321A"/>
    <w:pPr>
      <w:pBdr>
        <w:bottom w:val="single" w:sz="8" w:space="0" w:color="FFFFFF"/>
        <w:right w:val="single" w:sz="8" w:space="0" w:color="FFFFFF"/>
      </w:pBdr>
      <w:shd w:val="clear" w:color="000000" w:fill="A5D5E2"/>
      <w:spacing w:before="100" w:beforeAutospacing="1" w:after="100" w:afterAutospacing="1"/>
      <w:jc w:val="left"/>
      <w:textAlignment w:val="center"/>
    </w:pPr>
    <w:rPr>
      <w:rFonts w:ascii="Arial Narrow" w:hAnsi="Arial Narrow"/>
      <w:szCs w:val="24"/>
      <w:lang w:eastAsia="en-AU"/>
    </w:rPr>
  </w:style>
  <w:style w:type="paragraph" w:customStyle="1" w:styleId="xl81">
    <w:name w:val="xl81"/>
    <w:basedOn w:val="Normal"/>
    <w:rsid w:val="0020321A"/>
    <w:pPr>
      <w:pBdr>
        <w:bottom w:val="single" w:sz="8" w:space="0" w:color="FFFFFF"/>
        <w:right w:val="single" w:sz="8" w:space="0" w:color="FFFFFF"/>
      </w:pBdr>
      <w:shd w:val="clear" w:color="000000" w:fill="A5D5E2"/>
      <w:spacing w:before="100" w:beforeAutospacing="1" w:after="100" w:afterAutospacing="1"/>
      <w:jc w:val="center"/>
      <w:textAlignment w:val="center"/>
    </w:pPr>
    <w:rPr>
      <w:rFonts w:ascii="Arial Narrow" w:hAnsi="Arial Narrow"/>
      <w:szCs w:val="24"/>
      <w:lang w:eastAsia="en-AU"/>
    </w:rPr>
  </w:style>
  <w:style w:type="paragraph" w:customStyle="1" w:styleId="xl82">
    <w:name w:val="xl82"/>
    <w:basedOn w:val="Normal"/>
    <w:rsid w:val="0020321A"/>
    <w:pPr>
      <w:pBdr>
        <w:top w:val="single" w:sz="8" w:space="0" w:color="FFFFFF"/>
        <w:left w:val="single" w:sz="8" w:space="0" w:color="FFFFFF"/>
        <w:right w:val="single" w:sz="12" w:space="0" w:color="FFFFFF"/>
      </w:pBdr>
      <w:shd w:val="clear" w:color="000000" w:fill="4BACC6"/>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83">
    <w:name w:val="xl83"/>
    <w:basedOn w:val="Normal"/>
    <w:rsid w:val="0020321A"/>
    <w:pPr>
      <w:pBdr>
        <w:bottom w:val="single" w:sz="8" w:space="0" w:color="FFFFFF"/>
        <w:right w:val="single" w:sz="8" w:space="0" w:color="FFFFFF"/>
      </w:pBdr>
      <w:shd w:val="clear" w:color="000000" w:fill="D2EAF1"/>
      <w:spacing w:before="100" w:beforeAutospacing="1" w:after="100" w:afterAutospacing="1"/>
      <w:jc w:val="left"/>
      <w:textAlignment w:val="center"/>
    </w:pPr>
    <w:rPr>
      <w:rFonts w:ascii="Arial Narrow" w:hAnsi="Arial Narrow"/>
      <w:szCs w:val="24"/>
      <w:lang w:eastAsia="en-AU"/>
    </w:rPr>
  </w:style>
  <w:style w:type="paragraph" w:customStyle="1" w:styleId="xl84">
    <w:name w:val="xl84"/>
    <w:basedOn w:val="Normal"/>
    <w:rsid w:val="0020321A"/>
    <w:pPr>
      <w:pBdr>
        <w:bottom w:val="single" w:sz="8" w:space="0" w:color="FFFFFF"/>
        <w:right w:val="single" w:sz="8" w:space="0" w:color="FFFFFF"/>
      </w:pBdr>
      <w:shd w:val="clear" w:color="000000" w:fill="D2EAF1"/>
      <w:spacing w:before="100" w:beforeAutospacing="1" w:after="100" w:afterAutospacing="1"/>
      <w:jc w:val="center"/>
      <w:textAlignment w:val="center"/>
    </w:pPr>
    <w:rPr>
      <w:rFonts w:ascii="Arial Narrow" w:hAnsi="Arial Narrow"/>
      <w:szCs w:val="24"/>
      <w:lang w:eastAsia="en-AU"/>
    </w:rPr>
  </w:style>
  <w:style w:type="paragraph" w:customStyle="1" w:styleId="xl85">
    <w:name w:val="xl85"/>
    <w:basedOn w:val="Normal"/>
    <w:rsid w:val="0020321A"/>
    <w:pPr>
      <w:pBdr>
        <w:top w:val="single" w:sz="8" w:space="0" w:color="FFFFFF"/>
        <w:bottom w:val="single" w:sz="8" w:space="0" w:color="FFFFFF"/>
        <w:right w:val="single" w:sz="8" w:space="0" w:color="FFFFFF"/>
      </w:pBdr>
      <w:shd w:val="clear" w:color="000000" w:fill="A5D5E2"/>
      <w:spacing w:before="100" w:beforeAutospacing="1" w:after="100" w:afterAutospacing="1"/>
      <w:jc w:val="left"/>
      <w:textAlignment w:val="center"/>
    </w:pPr>
    <w:rPr>
      <w:rFonts w:ascii="Arial Narrow" w:hAnsi="Arial Narrow"/>
      <w:szCs w:val="24"/>
      <w:lang w:eastAsia="en-AU"/>
    </w:rPr>
  </w:style>
  <w:style w:type="paragraph" w:customStyle="1" w:styleId="xl86">
    <w:name w:val="xl86"/>
    <w:basedOn w:val="Normal"/>
    <w:rsid w:val="0020321A"/>
    <w:pPr>
      <w:pBdr>
        <w:top w:val="single" w:sz="8" w:space="0" w:color="FFFFFF"/>
        <w:bottom w:val="single" w:sz="8" w:space="0" w:color="FFFFFF"/>
        <w:right w:val="single" w:sz="8" w:space="0" w:color="FFFFFF"/>
      </w:pBdr>
      <w:shd w:val="clear" w:color="000000" w:fill="A5D5E2"/>
      <w:spacing w:before="100" w:beforeAutospacing="1" w:after="100" w:afterAutospacing="1"/>
      <w:jc w:val="center"/>
      <w:textAlignment w:val="center"/>
    </w:pPr>
    <w:rPr>
      <w:rFonts w:ascii="Arial Narrow" w:hAnsi="Arial Narrow"/>
      <w:szCs w:val="24"/>
      <w:lang w:eastAsia="en-AU"/>
    </w:rPr>
  </w:style>
  <w:style w:type="paragraph" w:customStyle="1" w:styleId="xl87">
    <w:name w:val="xl87"/>
    <w:basedOn w:val="Normal"/>
    <w:rsid w:val="0020321A"/>
    <w:pPr>
      <w:pBdr>
        <w:top w:val="single" w:sz="8" w:space="0" w:color="FFFFFF"/>
        <w:bottom w:val="single" w:sz="8" w:space="0" w:color="FFFFFF"/>
        <w:right w:val="single" w:sz="8" w:space="0" w:color="FFFFFF"/>
      </w:pBdr>
      <w:shd w:val="clear" w:color="000000" w:fill="D2EAF1"/>
      <w:spacing w:before="100" w:beforeAutospacing="1" w:after="100" w:afterAutospacing="1"/>
      <w:jc w:val="left"/>
      <w:textAlignment w:val="center"/>
    </w:pPr>
    <w:rPr>
      <w:rFonts w:ascii="Arial Narrow" w:hAnsi="Arial Narrow"/>
      <w:szCs w:val="24"/>
      <w:lang w:eastAsia="en-AU"/>
    </w:rPr>
  </w:style>
  <w:style w:type="paragraph" w:customStyle="1" w:styleId="xl88">
    <w:name w:val="xl88"/>
    <w:basedOn w:val="Normal"/>
    <w:rsid w:val="0020321A"/>
    <w:pPr>
      <w:pBdr>
        <w:top w:val="single" w:sz="8" w:space="0" w:color="FFFFFF"/>
        <w:bottom w:val="single" w:sz="8" w:space="0" w:color="FFFFFF"/>
        <w:right w:val="single" w:sz="8" w:space="0" w:color="FFFFFF"/>
      </w:pBdr>
      <w:shd w:val="clear" w:color="000000" w:fill="D2EAF1"/>
      <w:spacing w:before="100" w:beforeAutospacing="1" w:after="100" w:afterAutospacing="1"/>
      <w:jc w:val="center"/>
      <w:textAlignment w:val="center"/>
    </w:pPr>
    <w:rPr>
      <w:rFonts w:ascii="Arial Narrow" w:hAnsi="Arial Narrow"/>
      <w:szCs w:val="24"/>
      <w:lang w:eastAsia="en-AU"/>
    </w:rPr>
  </w:style>
  <w:style w:type="paragraph" w:customStyle="1" w:styleId="xl89">
    <w:name w:val="xl89"/>
    <w:basedOn w:val="Normal"/>
    <w:rsid w:val="0020321A"/>
    <w:pPr>
      <w:pBdr>
        <w:top w:val="single" w:sz="8" w:space="0" w:color="FFFFFF"/>
        <w:left w:val="single" w:sz="8" w:space="0" w:color="FFFFFF"/>
        <w:right w:val="single" w:sz="12" w:space="0" w:color="FFFFFF"/>
      </w:pBdr>
      <w:shd w:val="clear" w:color="000000" w:fill="FFFF00"/>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90">
    <w:name w:val="xl90"/>
    <w:basedOn w:val="Normal"/>
    <w:rsid w:val="0020321A"/>
    <w:pPr>
      <w:pBdr>
        <w:bottom w:val="single" w:sz="8" w:space="0" w:color="FFFFFF"/>
        <w:right w:val="single" w:sz="8" w:space="0" w:color="FFFFFF"/>
      </w:pBdr>
      <w:shd w:val="clear" w:color="000000" w:fill="FFFF00"/>
      <w:spacing w:before="100" w:beforeAutospacing="1" w:after="100" w:afterAutospacing="1"/>
      <w:jc w:val="left"/>
      <w:textAlignment w:val="center"/>
    </w:pPr>
    <w:rPr>
      <w:rFonts w:ascii="Arial Narrow" w:hAnsi="Arial Narrow"/>
      <w:szCs w:val="24"/>
      <w:lang w:eastAsia="en-AU"/>
    </w:rPr>
  </w:style>
  <w:style w:type="paragraph" w:customStyle="1" w:styleId="xl91">
    <w:name w:val="xl91"/>
    <w:basedOn w:val="Normal"/>
    <w:rsid w:val="0020321A"/>
    <w:pPr>
      <w:pBdr>
        <w:bottom w:val="single" w:sz="8" w:space="0" w:color="FFFFFF"/>
        <w:right w:val="single" w:sz="8" w:space="0" w:color="FFFFFF"/>
      </w:pBdr>
      <w:shd w:val="clear" w:color="000000" w:fill="FFFF00"/>
      <w:spacing w:before="100" w:beforeAutospacing="1" w:after="100" w:afterAutospacing="1"/>
      <w:jc w:val="center"/>
      <w:textAlignment w:val="center"/>
    </w:pPr>
    <w:rPr>
      <w:rFonts w:ascii="Arial Narrow" w:hAnsi="Arial Narrow"/>
      <w:szCs w:val="24"/>
      <w:lang w:eastAsia="en-AU"/>
    </w:rPr>
  </w:style>
  <w:style w:type="paragraph" w:customStyle="1" w:styleId="xl92">
    <w:name w:val="xl92"/>
    <w:basedOn w:val="Normal"/>
    <w:rsid w:val="0020321A"/>
    <w:pPr>
      <w:pBdr>
        <w:top w:val="single" w:sz="8" w:space="0" w:color="FFFFFF"/>
        <w:left w:val="single" w:sz="8" w:space="0" w:color="FFFFFF"/>
        <w:bottom w:val="single" w:sz="8" w:space="0" w:color="FFFFFF"/>
      </w:pBdr>
      <w:shd w:val="clear" w:color="000000" w:fill="4BACC6"/>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93">
    <w:name w:val="xl93"/>
    <w:basedOn w:val="Normal"/>
    <w:rsid w:val="0020321A"/>
    <w:pPr>
      <w:pBdr>
        <w:top w:val="single" w:sz="8" w:space="0" w:color="FFFFFF"/>
        <w:bottom w:val="single" w:sz="8" w:space="0" w:color="FFFFFF"/>
      </w:pBdr>
      <w:shd w:val="clear" w:color="000000" w:fill="A5D5E2"/>
      <w:spacing w:before="100" w:beforeAutospacing="1" w:after="100" w:afterAutospacing="1"/>
      <w:jc w:val="center"/>
      <w:textAlignment w:val="center"/>
    </w:pPr>
    <w:rPr>
      <w:rFonts w:ascii="Arial Narrow" w:hAnsi="Arial Narrow"/>
      <w:szCs w:val="24"/>
      <w:lang w:eastAsia="en-AU"/>
    </w:rPr>
  </w:style>
  <w:style w:type="paragraph" w:customStyle="1" w:styleId="xl94">
    <w:name w:val="xl94"/>
    <w:basedOn w:val="Normal"/>
    <w:rsid w:val="0020321A"/>
    <w:pPr>
      <w:pBdr>
        <w:top w:val="single" w:sz="8" w:space="0" w:color="FFFFFF"/>
        <w:bottom w:val="single" w:sz="8" w:space="0" w:color="FFFFFF"/>
      </w:pBdr>
      <w:shd w:val="clear" w:color="000000" w:fill="D2EAF1"/>
      <w:spacing w:before="100" w:beforeAutospacing="1" w:after="100" w:afterAutospacing="1"/>
      <w:jc w:val="left"/>
      <w:textAlignment w:val="center"/>
    </w:pPr>
    <w:rPr>
      <w:rFonts w:ascii="Arial Narrow" w:hAnsi="Arial Narrow"/>
      <w:szCs w:val="24"/>
      <w:lang w:eastAsia="en-AU"/>
    </w:rPr>
  </w:style>
  <w:style w:type="paragraph" w:customStyle="1" w:styleId="xl95">
    <w:name w:val="xl95"/>
    <w:basedOn w:val="Normal"/>
    <w:rsid w:val="0020321A"/>
    <w:pPr>
      <w:pBdr>
        <w:top w:val="single" w:sz="8" w:space="0" w:color="FFFFFF"/>
        <w:bottom w:val="single" w:sz="8" w:space="0" w:color="FFFFFF"/>
      </w:pBdr>
      <w:shd w:val="clear" w:color="000000" w:fill="A5D5E2"/>
      <w:spacing w:before="100" w:beforeAutospacing="1" w:after="100" w:afterAutospacing="1"/>
      <w:jc w:val="left"/>
      <w:textAlignment w:val="center"/>
    </w:pPr>
    <w:rPr>
      <w:rFonts w:ascii="Arial Narrow" w:hAnsi="Arial Narrow"/>
      <w:szCs w:val="24"/>
      <w:lang w:eastAsia="en-AU"/>
    </w:rPr>
  </w:style>
  <w:style w:type="paragraph" w:customStyle="1" w:styleId="xl96">
    <w:name w:val="xl96"/>
    <w:basedOn w:val="Normal"/>
    <w:rsid w:val="0020321A"/>
    <w:pPr>
      <w:pBdr>
        <w:top w:val="single" w:sz="8" w:space="0" w:color="FFFFFF"/>
        <w:bottom w:val="single" w:sz="8" w:space="0" w:color="FFFFFF"/>
      </w:pBdr>
      <w:shd w:val="clear" w:color="000000" w:fill="D2EAF1"/>
      <w:spacing w:before="100" w:beforeAutospacing="1" w:after="100" w:afterAutospacing="1"/>
      <w:jc w:val="center"/>
      <w:textAlignment w:val="center"/>
    </w:pPr>
    <w:rPr>
      <w:rFonts w:ascii="Arial Narrow" w:hAnsi="Arial Narrow"/>
      <w:szCs w:val="24"/>
      <w:lang w:eastAsia="en-AU"/>
    </w:rPr>
  </w:style>
  <w:style w:type="paragraph" w:customStyle="1" w:styleId="xl97">
    <w:name w:val="xl97"/>
    <w:basedOn w:val="Normal"/>
    <w:rsid w:val="0020321A"/>
    <w:pPr>
      <w:pBdr>
        <w:top w:val="single" w:sz="8" w:space="0" w:color="FFFFFF"/>
        <w:bottom w:val="single" w:sz="8" w:space="0" w:color="FFFFFF"/>
        <w:right w:val="single" w:sz="12" w:space="0" w:color="FFFFFF"/>
      </w:pBdr>
      <w:shd w:val="clear" w:color="000000" w:fill="A5D5E2"/>
      <w:spacing w:before="100" w:beforeAutospacing="1" w:after="100" w:afterAutospacing="1"/>
      <w:jc w:val="center"/>
      <w:textAlignment w:val="center"/>
    </w:pPr>
    <w:rPr>
      <w:rFonts w:ascii="Arial Narrow" w:hAnsi="Arial Narrow"/>
      <w:szCs w:val="24"/>
      <w:lang w:eastAsia="en-AU"/>
    </w:rPr>
  </w:style>
  <w:style w:type="paragraph" w:customStyle="1" w:styleId="xl98">
    <w:name w:val="xl98"/>
    <w:basedOn w:val="Normal"/>
    <w:rsid w:val="0020321A"/>
    <w:pPr>
      <w:pBdr>
        <w:top w:val="single" w:sz="8" w:space="0" w:color="FFFFFF"/>
        <w:bottom w:val="single" w:sz="8" w:space="0" w:color="FFFFFF"/>
        <w:right w:val="single" w:sz="12" w:space="0" w:color="FFFFFF"/>
      </w:pBdr>
      <w:shd w:val="clear" w:color="000000" w:fill="D2EAF1"/>
      <w:spacing w:before="100" w:beforeAutospacing="1" w:after="100" w:afterAutospacing="1"/>
      <w:jc w:val="center"/>
      <w:textAlignment w:val="center"/>
    </w:pPr>
    <w:rPr>
      <w:rFonts w:ascii="Arial Narrow" w:hAnsi="Arial Narrow"/>
      <w:szCs w:val="24"/>
      <w:lang w:eastAsia="en-AU"/>
    </w:rPr>
  </w:style>
  <w:style w:type="paragraph" w:customStyle="1" w:styleId="xl99">
    <w:name w:val="xl99"/>
    <w:basedOn w:val="Normal"/>
    <w:rsid w:val="0020321A"/>
    <w:pPr>
      <w:pBdr>
        <w:right w:val="single" w:sz="8" w:space="0" w:color="FFFFFF"/>
      </w:pBdr>
      <w:shd w:val="clear" w:color="000000" w:fill="4BACC6"/>
      <w:spacing w:before="100" w:beforeAutospacing="1" w:after="100" w:afterAutospacing="1"/>
      <w:jc w:val="center"/>
      <w:textAlignment w:val="center"/>
    </w:pPr>
    <w:rPr>
      <w:rFonts w:ascii="Arial Narrow" w:hAnsi="Arial Narrow"/>
      <w:b/>
      <w:bCs/>
      <w:color w:val="FFFFFF"/>
      <w:szCs w:val="24"/>
      <w:lang w:eastAsia="en-AU"/>
    </w:rPr>
  </w:style>
  <w:style w:type="paragraph" w:customStyle="1" w:styleId="xl101">
    <w:name w:val="xl101"/>
    <w:basedOn w:val="Normal"/>
    <w:rsid w:val="0020321A"/>
    <w:pPr>
      <w:pBdr>
        <w:top w:val="single" w:sz="8" w:space="0" w:color="FFFFFF"/>
        <w:left w:val="single" w:sz="8" w:space="0" w:color="FFFFFF"/>
      </w:pBdr>
      <w:shd w:val="clear" w:color="000000" w:fill="FFFF00"/>
      <w:spacing w:before="100" w:beforeAutospacing="1" w:after="100" w:afterAutospacing="1"/>
      <w:jc w:val="left"/>
      <w:textAlignment w:val="center"/>
    </w:pPr>
    <w:rPr>
      <w:rFonts w:ascii="Arial Narrow" w:hAnsi="Arial Narrow"/>
      <w:b/>
      <w:bCs/>
      <w:color w:val="FFFFFF"/>
      <w:szCs w:val="24"/>
      <w:lang w:eastAsia="en-AU"/>
    </w:rPr>
  </w:style>
  <w:style w:type="paragraph" w:customStyle="1" w:styleId="xl102">
    <w:name w:val="xl102"/>
    <w:basedOn w:val="Normal"/>
    <w:rsid w:val="0020321A"/>
    <w:pPr>
      <w:shd w:val="clear" w:color="000000" w:fill="FFFF00"/>
      <w:spacing w:before="100" w:beforeAutospacing="1" w:after="100" w:afterAutospacing="1"/>
      <w:jc w:val="left"/>
    </w:pPr>
    <w:rPr>
      <w:rFonts w:ascii="Times New Roman" w:hAnsi="Times New Roman"/>
      <w:szCs w:val="24"/>
      <w:lang w:eastAsia="en-AU"/>
    </w:rPr>
  </w:style>
  <w:style w:type="paragraph" w:customStyle="1" w:styleId="xl103">
    <w:name w:val="xl103"/>
    <w:basedOn w:val="Normal"/>
    <w:rsid w:val="0020321A"/>
    <w:pPr>
      <w:pBdr>
        <w:bottom w:val="single" w:sz="8" w:space="0" w:color="FFFFFF"/>
      </w:pBdr>
      <w:shd w:val="clear" w:color="000000" w:fill="FFFF00"/>
      <w:spacing w:before="100" w:beforeAutospacing="1" w:after="100" w:afterAutospacing="1"/>
      <w:jc w:val="left"/>
      <w:textAlignment w:val="center"/>
    </w:pPr>
    <w:rPr>
      <w:rFonts w:ascii="Arial Narrow" w:hAnsi="Arial Narrow"/>
      <w:szCs w:val="24"/>
      <w:lang w:eastAsia="en-AU"/>
    </w:rPr>
  </w:style>
  <w:style w:type="paragraph" w:customStyle="1" w:styleId="xl104">
    <w:name w:val="xl104"/>
    <w:basedOn w:val="Normal"/>
    <w:rsid w:val="0020321A"/>
    <w:pPr>
      <w:pBdr>
        <w:bottom w:val="single" w:sz="8" w:space="0" w:color="FFFFFF"/>
      </w:pBdr>
      <w:shd w:val="clear" w:color="000000" w:fill="FFFF00"/>
      <w:spacing w:before="100" w:beforeAutospacing="1" w:after="100" w:afterAutospacing="1"/>
      <w:jc w:val="center"/>
      <w:textAlignment w:val="center"/>
    </w:pPr>
    <w:rPr>
      <w:rFonts w:ascii="Arial Narrow" w:hAnsi="Arial Narrow"/>
      <w:szCs w:val="24"/>
      <w:lang w:eastAsia="en-AU"/>
    </w:rPr>
  </w:style>
  <w:style w:type="table" w:customStyle="1" w:styleId="MediumGrid3-Accent11">
    <w:name w:val="Medium Grid 3 - Accent 11"/>
    <w:basedOn w:val="TableNormal"/>
    <w:next w:val="MediumGrid3-Accent1"/>
    <w:uiPriority w:val="69"/>
    <w:rsid w:val="001D70D9"/>
    <w:rPr>
      <w:rFonts w:ascii="Arial" w:eastAsia="Calibri" w:hAnsi="Arial"/>
      <w:sz w:val="24"/>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1D70D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xl146">
    <w:name w:val="xl146"/>
    <w:basedOn w:val="Normal"/>
    <w:rsid w:val="006C1B0D"/>
    <w:pPr>
      <w:spacing w:before="100" w:beforeAutospacing="1" w:after="100" w:afterAutospacing="1"/>
      <w:jc w:val="left"/>
    </w:pPr>
    <w:rPr>
      <w:rFonts w:ascii="Times New Roman" w:hAnsi="Times New Roman"/>
      <w:szCs w:val="24"/>
      <w:lang w:eastAsia="en-AU"/>
    </w:rPr>
  </w:style>
  <w:style w:type="paragraph" w:customStyle="1" w:styleId="xl148">
    <w:name w:val="xl148"/>
    <w:basedOn w:val="Normal"/>
    <w:rsid w:val="006C1B0D"/>
    <w:pPr>
      <w:shd w:val="clear" w:color="000000" w:fill="366092"/>
      <w:spacing w:before="100" w:beforeAutospacing="1" w:after="100" w:afterAutospacing="1"/>
      <w:jc w:val="right"/>
    </w:pPr>
    <w:rPr>
      <w:rFonts w:ascii="Times New Roman" w:hAnsi="Times New Roman"/>
      <w:b/>
      <w:bCs/>
      <w:color w:val="FFFFFF"/>
      <w:sz w:val="18"/>
      <w:szCs w:val="18"/>
      <w:lang w:eastAsia="en-AU"/>
    </w:rPr>
  </w:style>
  <w:style w:type="paragraph" w:customStyle="1" w:styleId="xl149">
    <w:name w:val="xl149"/>
    <w:basedOn w:val="Normal"/>
    <w:rsid w:val="006C1B0D"/>
    <w:pPr>
      <w:shd w:val="clear" w:color="000000" w:fill="FFFF00"/>
      <w:spacing w:before="100" w:beforeAutospacing="1" w:after="100" w:afterAutospacing="1"/>
      <w:jc w:val="center"/>
      <w:textAlignment w:val="center"/>
    </w:pPr>
    <w:rPr>
      <w:rFonts w:ascii="Times New Roman" w:hAnsi="Times New Roman"/>
      <w:color w:val="FF0000"/>
      <w:sz w:val="18"/>
      <w:szCs w:val="18"/>
      <w:lang w:eastAsia="en-AU"/>
    </w:rPr>
  </w:style>
  <w:style w:type="paragraph" w:customStyle="1" w:styleId="xl150">
    <w:name w:val="xl150"/>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51">
    <w:name w:val="xl151"/>
    <w:basedOn w:val="Normal"/>
    <w:rsid w:val="006C1B0D"/>
    <w:pPr>
      <w:shd w:val="clear" w:color="000000" w:fill="31869B"/>
      <w:spacing w:before="100" w:beforeAutospacing="1" w:after="100" w:afterAutospacing="1"/>
      <w:jc w:val="right"/>
    </w:pPr>
    <w:rPr>
      <w:rFonts w:ascii="Times New Roman" w:hAnsi="Times New Roman"/>
      <w:b/>
      <w:bCs/>
      <w:color w:val="FFFFFF"/>
      <w:sz w:val="18"/>
      <w:szCs w:val="18"/>
      <w:lang w:eastAsia="en-AU"/>
    </w:rPr>
  </w:style>
  <w:style w:type="paragraph" w:customStyle="1" w:styleId="xl152">
    <w:name w:val="xl152"/>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53">
    <w:name w:val="xl153"/>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54">
    <w:name w:val="xl154"/>
    <w:basedOn w:val="Normal"/>
    <w:rsid w:val="006C1B0D"/>
    <w:pPr>
      <w:shd w:val="clear" w:color="000000" w:fill="366092"/>
      <w:spacing w:before="100" w:beforeAutospacing="1" w:after="100" w:afterAutospacing="1"/>
      <w:jc w:val="center"/>
    </w:pPr>
    <w:rPr>
      <w:rFonts w:ascii="Times New Roman" w:hAnsi="Times New Roman"/>
      <w:b/>
      <w:bCs/>
      <w:color w:val="FFFFFF"/>
      <w:sz w:val="18"/>
      <w:szCs w:val="18"/>
      <w:lang w:eastAsia="en-AU"/>
    </w:rPr>
  </w:style>
  <w:style w:type="paragraph" w:customStyle="1" w:styleId="xl155">
    <w:name w:val="xl155"/>
    <w:basedOn w:val="Normal"/>
    <w:rsid w:val="006C1B0D"/>
    <w:pPr>
      <w:spacing w:before="100" w:beforeAutospacing="1" w:after="100" w:afterAutospacing="1"/>
      <w:jc w:val="center"/>
    </w:pPr>
    <w:rPr>
      <w:rFonts w:ascii="Times New Roman" w:hAnsi="Times New Roman"/>
      <w:szCs w:val="24"/>
      <w:lang w:eastAsia="en-AU"/>
    </w:rPr>
  </w:style>
  <w:style w:type="paragraph" w:customStyle="1" w:styleId="xl156">
    <w:name w:val="xl156"/>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57">
    <w:name w:val="xl157"/>
    <w:basedOn w:val="Normal"/>
    <w:rsid w:val="006C1B0D"/>
    <w:pPr>
      <w:shd w:val="clear" w:color="000000" w:fill="366092"/>
      <w:spacing w:before="100" w:beforeAutospacing="1" w:after="100" w:afterAutospacing="1"/>
      <w:jc w:val="right"/>
    </w:pPr>
    <w:rPr>
      <w:rFonts w:ascii="Times New Roman" w:hAnsi="Times New Roman"/>
      <w:b/>
      <w:bCs/>
      <w:color w:val="FFFFFF"/>
      <w:sz w:val="18"/>
      <w:szCs w:val="18"/>
      <w:lang w:eastAsia="en-AU"/>
    </w:rPr>
  </w:style>
  <w:style w:type="paragraph" w:customStyle="1" w:styleId="xl158">
    <w:name w:val="xl158"/>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59">
    <w:name w:val="xl159"/>
    <w:basedOn w:val="Normal"/>
    <w:rsid w:val="006C1B0D"/>
    <w:pPr>
      <w:spacing w:before="100" w:beforeAutospacing="1" w:after="100" w:afterAutospacing="1"/>
      <w:jc w:val="right"/>
    </w:pPr>
    <w:rPr>
      <w:rFonts w:ascii="Times New Roman" w:hAnsi="Times New Roman"/>
      <w:szCs w:val="24"/>
      <w:lang w:eastAsia="en-AU"/>
    </w:rPr>
  </w:style>
  <w:style w:type="paragraph" w:customStyle="1" w:styleId="xl160">
    <w:name w:val="xl160"/>
    <w:basedOn w:val="Normal"/>
    <w:rsid w:val="006C1B0D"/>
    <w:pPr>
      <w:shd w:val="clear" w:color="000000" w:fill="366092"/>
      <w:spacing w:before="100" w:beforeAutospacing="1" w:after="100" w:afterAutospacing="1"/>
      <w:jc w:val="left"/>
    </w:pPr>
    <w:rPr>
      <w:rFonts w:ascii="Times New Roman" w:hAnsi="Times New Roman"/>
      <w:b/>
      <w:bCs/>
      <w:color w:val="FFFFFF"/>
      <w:sz w:val="18"/>
      <w:szCs w:val="18"/>
      <w:lang w:eastAsia="en-AU"/>
    </w:rPr>
  </w:style>
  <w:style w:type="paragraph" w:customStyle="1" w:styleId="xl161">
    <w:name w:val="xl161"/>
    <w:basedOn w:val="Normal"/>
    <w:rsid w:val="006C1B0D"/>
    <w:pPr>
      <w:spacing w:before="100" w:beforeAutospacing="1" w:after="100" w:afterAutospacing="1"/>
      <w:jc w:val="left"/>
    </w:pPr>
    <w:rPr>
      <w:rFonts w:ascii="Times New Roman" w:hAnsi="Times New Roman"/>
      <w:szCs w:val="24"/>
      <w:lang w:eastAsia="en-AU"/>
    </w:rPr>
  </w:style>
  <w:style w:type="paragraph" w:customStyle="1" w:styleId="xl162">
    <w:name w:val="xl162"/>
    <w:basedOn w:val="Normal"/>
    <w:rsid w:val="006C1B0D"/>
    <w:pPr>
      <w:spacing w:before="100" w:beforeAutospacing="1" w:after="100" w:afterAutospacing="1"/>
      <w:jc w:val="center"/>
    </w:pPr>
    <w:rPr>
      <w:rFonts w:ascii="Times New Roman" w:hAnsi="Times New Roman"/>
      <w:szCs w:val="24"/>
      <w:lang w:eastAsia="en-AU"/>
    </w:rPr>
  </w:style>
  <w:style w:type="paragraph" w:customStyle="1" w:styleId="xl147">
    <w:name w:val="xl147"/>
    <w:basedOn w:val="Normal"/>
    <w:rsid w:val="006C1B0D"/>
    <w:pPr>
      <w:spacing w:before="100" w:beforeAutospacing="1" w:after="100" w:afterAutospacing="1"/>
      <w:jc w:val="center"/>
    </w:pPr>
    <w:rPr>
      <w:rFonts w:ascii="Times New Roman" w:hAnsi="Times New Roman"/>
      <w:szCs w:val="24"/>
      <w:lang w:eastAsia="en-AU"/>
    </w:rPr>
  </w:style>
  <w:style w:type="paragraph" w:customStyle="1" w:styleId="xl75">
    <w:name w:val="xl75"/>
    <w:basedOn w:val="Normal"/>
    <w:rsid w:val="00C761F3"/>
    <w:pPr>
      <w:pBdr>
        <w:top w:val="single" w:sz="8" w:space="0" w:color="FFFFFF"/>
        <w:left w:val="single" w:sz="8" w:space="0" w:color="FFFFFF"/>
        <w:right w:val="single" w:sz="12" w:space="0" w:color="FFFFFF"/>
      </w:pBdr>
      <w:shd w:val="clear" w:color="000000" w:fill="4BACC6"/>
      <w:spacing w:before="100" w:beforeAutospacing="1" w:after="100" w:afterAutospacing="1"/>
      <w:jc w:val="right"/>
      <w:textAlignment w:val="center"/>
    </w:pPr>
    <w:rPr>
      <w:rFonts w:ascii="Arial Narrow" w:hAnsi="Arial Narrow"/>
      <w:b/>
      <w:bCs/>
      <w:color w:val="FFFFFF"/>
      <w:sz w:val="20"/>
      <w:lang w:eastAsia="en-AU"/>
    </w:rPr>
  </w:style>
  <w:style w:type="paragraph" w:customStyle="1" w:styleId="xl76">
    <w:name w:val="xl76"/>
    <w:basedOn w:val="Normal"/>
    <w:rsid w:val="00C761F3"/>
    <w:pPr>
      <w:pBdr>
        <w:bottom w:val="single" w:sz="8" w:space="0" w:color="FFFFFF"/>
        <w:right w:val="single" w:sz="8" w:space="0" w:color="FFFFFF"/>
      </w:pBdr>
      <w:shd w:val="clear" w:color="000000" w:fill="D2EAF1"/>
      <w:spacing w:before="100" w:beforeAutospacing="1" w:after="100" w:afterAutospacing="1"/>
      <w:jc w:val="right"/>
      <w:textAlignment w:val="center"/>
    </w:pPr>
    <w:rPr>
      <w:rFonts w:ascii="Arial Narrow" w:hAnsi="Arial Narrow"/>
      <w:color w:val="000000"/>
      <w:sz w:val="20"/>
      <w:lang w:eastAsia="en-AU"/>
    </w:rPr>
  </w:style>
  <w:style w:type="paragraph" w:styleId="Revision">
    <w:name w:val="Revision"/>
    <w:hidden/>
    <w:uiPriority w:val="99"/>
    <w:semiHidden/>
    <w:rsid w:val="002B7D8D"/>
    <w:rPr>
      <w:rFonts w:ascii="Arial" w:hAnsi="Arial"/>
      <w:sz w:val="24"/>
      <w:lang w:eastAsia="en-US"/>
    </w:rPr>
  </w:style>
  <w:style w:type="paragraph" w:customStyle="1" w:styleId="Pa5">
    <w:name w:val="Pa5"/>
    <w:basedOn w:val="Normal"/>
    <w:next w:val="Normal"/>
    <w:uiPriority w:val="99"/>
    <w:rsid w:val="00367CF6"/>
    <w:pPr>
      <w:autoSpaceDE w:val="0"/>
      <w:autoSpaceDN w:val="0"/>
      <w:adjustRightInd w:val="0"/>
      <w:spacing w:after="0" w:line="221" w:lineRule="atLeast"/>
      <w:jc w:val="left"/>
    </w:pPr>
    <w:rPr>
      <w:rFonts w:ascii="News Gothic BT" w:hAnsi="News Gothic BT"/>
      <w:szCs w:val="24"/>
      <w:lang w:eastAsia="en-AU"/>
    </w:rPr>
  </w:style>
  <w:style w:type="paragraph" w:customStyle="1" w:styleId="Default">
    <w:name w:val="Default"/>
    <w:rsid w:val="00474BC1"/>
    <w:pPr>
      <w:autoSpaceDE w:val="0"/>
      <w:autoSpaceDN w:val="0"/>
      <w:adjustRightInd w:val="0"/>
    </w:pPr>
    <w:rPr>
      <w:rFonts w:ascii="Arial" w:eastAsiaTheme="minorHAnsi" w:hAnsi="Arial" w:cs="Arial"/>
      <w:color w:val="000000"/>
      <w:sz w:val="24"/>
      <w:szCs w:val="24"/>
      <w:lang w:eastAsia="en-US"/>
    </w:rPr>
  </w:style>
  <w:style w:type="paragraph" w:styleId="NoSpacing">
    <w:name w:val="No Spacing"/>
    <w:aliases w:val="Table Headings"/>
    <w:uiPriority w:val="1"/>
    <w:qFormat/>
    <w:rsid w:val="00954BC5"/>
    <w:pPr>
      <w:jc w:val="both"/>
    </w:pPr>
    <w:rPr>
      <w:rFonts w:ascii="Arial" w:hAnsi="Arial"/>
      <w:color w:val="8DB3E2" w:themeColor="text2" w:themeTint="66"/>
      <w:sz w:val="24"/>
      <w:lang w:eastAsia="en-US"/>
    </w:rPr>
  </w:style>
  <w:style w:type="character" w:customStyle="1" w:styleId="CommentTextChar">
    <w:name w:val="Comment Text Char"/>
    <w:basedOn w:val="DefaultParagraphFont"/>
    <w:link w:val="CommentText"/>
    <w:semiHidden/>
    <w:rsid w:val="00954BC5"/>
    <w:rPr>
      <w:rFonts w:ascii="Arial" w:hAnsi="Arial"/>
      <w:sz w:val="24"/>
      <w:lang w:eastAsia="en-US"/>
    </w:rPr>
  </w:style>
  <w:style w:type="character" w:styleId="IntenseEmphasis">
    <w:name w:val="Intense Emphasis"/>
    <w:basedOn w:val="DefaultParagraphFont"/>
    <w:uiPriority w:val="21"/>
    <w:qFormat/>
    <w:rsid w:val="00691DE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3947">
      <w:bodyDiv w:val="1"/>
      <w:marLeft w:val="0"/>
      <w:marRight w:val="0"/>
      <w:marTop w:val="0"/>
      <w:marBottom w:val="0"/>
      <w:divBdr>
        <w:top w:val="none" w:sz="0" w:space="0" w:color="auto"/>
        <w:left w:val="none" w:sz="0" w:space="0" w:color="auto"/>
        <w:bottom w:val="none" w:sz="0" w:space="0" w:color="auto"/>
        <w:right w:val="none" w:sz="0" w:space="0" w:color="auto"/>
      </w:divBdr>
    </w:div>
    <w:div w:id="27070025">
      <w:bodyDiv w:val="1"/>
      <w:marLeft w:val="0"/>
      <w:marRight w:val="0"/>
      <w:marTop w:val="0"/>
      <w:marBottom w:val="0"/>
      <w:divBdr>
        <w:top w:val="none" w:sz="0" w:space="0" w:color="auto"/>
        <w:left w:val="none" w:sz="0" w:space="0" w:color="auto"/>
        <w:bottom w:val="none" w:sz="0" w:space="0" w:color="auto"/>
        <w:right w:val="none" w:sz="0" w:space="0" w:color="auto"/>
      </w:divBdr>
    </w:div>
    <w:div w:id="54403920">
      <w:bodyDiv w:val="1"/>
      <w:marLeft w:val="0"/>
      <w:marRight w:val="0"/>
      <w:marTop w:val="0"/>
      <w:marBottom w:val="0"/>
      <w:divBdr>
        <w:top w:val="none" w:sz="0" w:space="0" w:color="auto"/>
        <w:left w:val="none" w:sz="0" w:space="0" w:color="auto"/>
        <w:bottom w:val="none" w:sz="0" w:space="0" w:color="auto"/>
        <w:right w:val="none" w:sz="0" w:space="0" w:color="auto"/>
      </w:divBdr>
    </w:div>
    <w:div w:id="58330984">
      <w:bodyDiv w:val="1"/>
      <w:marLeft w:val="0"/>
      <w:marRight w:val="0"/>
      <w:marTop w:val="0"/>
      <w:marBottom w:val="0"/>
      <w:divBdr>
        <w:top w:val="none" w:sz="0" w:space="0" w:color="auto"/>
        <w:left w:val="none" w:sz="0" w:space="0" w:color="auto"/>
        <w:bottom w:val="none" w:sz="0" w:space="0" w:color="auto"/>
        <w:right w:val="none" w:sz="0" w:space="0" w:color="auto"/>
      </w:divBdr>
    </w:div>
    <w:div w:id="61297293">
      <w:bodyDiv w:val="1"/>
      <w:marLeft w:val="0"/>
      <w:marRight w:val="0"/>
      <w:marTop w:val="0"/>
      <w:marBottom w:val="0"/>
      <w:divBdr>
        <w:top w:val="none" w:sz="0" w:space="0" w:color="auto"/>
        <w:left w:val="none" w:sz="0" w:space="0" w:color="auto"/>
        <w:bottom w:val="none" w:sz="0" w:space="0" w:color="auto"/>
        <w:right w:val="none" w:sz="0" w:space="0" w:color="auto"/>
      </w:divBdr>
    </w:div>
    <w:div w:id="79912797">
      <w:bodyDiv w:val="1"/>
      <w:marLeft w:val="0"/>
      <w:marRight w:val="0"/>
      <w:marTop w:val="0"/>
      <w:marBottom w:val="0"/>
      <w:divBdr>
        <w:top w:val="none" w:sz="0" w:space="0" w:color="auto"/>
        <w:left w:val="none" w:sz="0" w:space="0" w:color="auto"/>
        <w:bottom w:val="none" w:sz="0" w:space="0" w:color="auto"/>
        <w:right w:val="none" w:sz="0" w:space="0" w:color="auto"/>
      </w:divBdr>
    </w:div>
    <w:div w:id="88309146">
      <w:bodyDiv w:val="1"/>
      <w:marLeft w:val="0"/>
      <w:marRight w:val="0"/>
      <w:marTop w:val="0"/>
      <w:marBottom w:val="0"/>
      <w:divBdr>
        <w:top w:val="none" w:sz="0" w:space="0" w:color="auto"/>
        <w:left w:val="none" w:sz="0" w:space="0" w:color="auto"/>
        <w:bottom w:val="none" w:sz="0" w:space="0" w:color="auto"/>
        <w:right w:val="none" w:sz="0" w:space="0" w:color="auto"/>
      </w:divBdr>
    </w:div>
    <w:div w:id="100540452">
      <w:bodyDiv w:val="1"/>
      <w:marLeft w:val="0"/>
      <w:marRight w:val="0"/>
      <w:marTop w:val="0"/>
      <w:marBottom w:val="0"/>
      <w:divBdr>
        <w:top w:val="none" w:sz="0" w:space="0" w:color="auto"/>
        <w:left w:val="none" w:sz="0" w:space="0" w:color="auto"/>
        <w:bottom w:val="none" w:sz="0" w:space="0" w:color="auto"/>
        <w:right w:val="none" w:sz="0" w:space="0" w:color="auto"/>
      </w:divBdr>
    </w:div>
    <w:div w:id="111243055">
      <w:bodyDiv w:val="1"/>
      <w:marLeft w:val="0"/>
      <w:marRight w:val="0"/>
      <w:marTop w:val="0"/>
      <w:marBottom w:val="0"/>
      <w:divBdr>
        <w:top w:val="none" w:sz="0" w:space="0" w:color="auto"/>
        <w:left w:val="none" w:sz="0" w:space="0" w:color="auto"/>
        <w:bottom w:val="none" w:sz="0" w:space="0" w:color="auto"/>
        <w:right w:val="none" w:sz="0" w:space="0" w:color="auto"/>
      </w:divBdr>
    </w:div>
    <w:div w:id="117844732">
      <w:bodyDiv w:val="1"/>
      <w:marLeft w:val="0"/>
      <w:marRight w:val="0"/>
      <w:marTop w:val="0"/>
      <w:marBottom w:val="0"/>
      <w:divBdr>
        <w:top w:val="none" w:sz="0" w:space="0" w:color="auto"/>
        <w:left w:val="none" w:sz="0" w:space="0" w:color="auto"/>
        <w:bottom w:val="none" w:sz="0" w:space="0" w:color="auto"/>
        <w:right w:val="none" w:sz="0" w:space="0" w:color="auto"/>
      </w:divBdr>
    </w:div>
    <w:div w:id="122231002">
      <w:bodyDiv w:val="1"/>
      <w:marLeft w:val="0"/>
      <w:marRight w:val="0"/>
      <w:marTop w:val="0"/>
      <w:marBottom w:val="0"/>
      <w:divBdr>
        <w:top w:val="none" w:sz="0" w:space="0" w:color="auto"/>
        <w:left w:val="none" w:sz="0" w:space="0" w:color="auto"/>
        <w:bottom w:val="none" w:sz="0" w:space="0" w:color="auto"/>
        <w:right w:val="none" w:sz="0" w:space="0" w:color="auto"/>
      </w:divBdr>
    </w:div>
    <w:div w:id="125969749">
      <w:bodyDiv w:val="1"/>
      <w:marLeft w:val="0"/>
      <w:marRight w:val="0"/>
      <w:marTop w:val="0"/>
      <w:marBottom w:val="0"/>
      <w:divBdr>
        <w:top w:val="none" w:sz="0" w:space="0" w:color="auto"/>
        <w:left w:val="none" w:sz="0" w:space="0" w:color="auto"/>
        <w:bottom w:val="none" w:sz="0" w:space="0" w:color="auto"/>
        <w:right w:val="none" w:sz="0" w:space="0" w:color="auto"/>
      </w:divBdr>
    </w:div>
    <w:div w:id="127284808">
      <w:bodyDiv w:val="1"/>
      <w:marLeft w:val="0"/>
      <w:marRight w:val="0"/>
      <w:marTop w:val="0"/>
      <w:marBottom w:val="0"/>
      <w:divBdr>
        <w:top w:val="none" w:sz="0" w:space="0" w:color="auto"/>
        <w:left w:val="none" w:sz="0" w:space="0" w:color="auto"/>
        <w:bottom w:val="none" w:sz="0" w:space="0" w:color="auto"/>
        <w:right w:val="none" w:sz="0" w:space="0" w:color="auto"/>
      </w:divBdr>
    </w:div>
    <w:div w:id="132017507">
      <w:bodyDiv w:val="1"/>
      <w:marLeft w:val="0"/>
      <w:marRight w:val="0"/>
      <w:marTop w:val="0"/>
      <w:marBottom w:val="0"/>
      <w:divBdr>
        <w:top w:val="none" w:sz="0" w:space="0" w:color="auto"/>
        <w:left w:val="none" w:sz="0" w:space="0" w:color="auto"/>
        <w:bottom w:val="none" w:sz="0" w:space="0" w:color="auto"/>
        <w:right w:val="none" w:sz="0" w:space="0" w:color="auto"/>
      </w:divBdr>
    </w:div>
    <w:div w:id="135997500">
      <w:bodyDiv w:val="1"/>
      <w:marLeft w:val="0"/>
      <w:marRight w:val="0"/>
      <w:marTop w:val="0"/>
      <w:marBottom w:val="0"/>
      <w:divBdr>
        <w:top w:val="none" w:sz="0" w:space="0" w:color="auto"/>
        <w:left w:val="none" w:sz="0" w:space="0" w:color="auto"/>
        <w:bottom w:val="none" w:sz="0" w:space="0" w:color="auto"/>
        <w:right w:val="none" w:sz="0" w:space="0" w:color="auto"/>
      </w:divBdr>
    </w:div>
    <w:div w:id="137066747">
      <w:bodyDiv w:val="1"/>
      <w:marLeft w:val="0"/>
      <w:marRight w:val="0"/>
      <w:marTop w:val="0"/>
      <w:marBottom w:val="0"/>
      <w:divBdr>
        <w:top w:val="none" w:sz="0" w:space="0" w:color="auto"/>
        <w:left w:val="none" w:sz="0" w:space="0" w:color="auto"/>
        <w:bottom w:val="none" w:sz="0" w:space="0" w:color="auto"/>
        <w:right w:val="none" w:sz="0" w:space="0" w:color="auto"/>
      </w:divBdr>
    </w:div>
    <w:div w:id="143476304">
      <w:bodyDiv w:val="1"/>
      <w:marLeft w:val="0"/>
      <w:marRight w:val="0"/>
      <w:marTop w:val="0"/>
      <w:marBottom w:val="0"/>
      <w:divBdr>
        <w:top w:val="none" w:sz="0" w:space="0" w:color="auto"/>
        <w:left w:val="none" w:sz="0" w:space="0" w:color="auto"/>
        <w:bottom w:val="none" w:sz="0" w:space="0" w:color="auto"/>
        <w:right w:val="none" w:sz="0" w:space="0" w:color="auto"/>
      </w:divBdr>
    </w:div>
    <w:div w:id="172259970">
      <w:bodyDiv w:val="1"/>
      <w:marLeft w:val="0"/>
      <w:marRight w:val="0"/>
      <w:marTop w:val="0"/>
      <w:marBottom w:val="0"/>
      <w:divBdr>
        <w:top w:val="none" w:sz="0" w:space="0" w:color="auto"/>
        <w:left w:val="none" w:sz="0" w:space="0" w:color="auto"/>
        <w:bottom w:val="none" w:sz="0" w:space="0" w:color="auto"/>
        <w:right w:val="none" w:sz="0" w:space="0" w:color="auto"/>
      </w:divBdr>
    </w:div>
    <w:div w:id="177693598">
      <w:bodyDiv w:val="1"/>
      <w:marLeft w:val="0"/>
      <w:marRight w:val="0"/>
      <w:marTop w:val="0"/>
      <w:marBottom w:val="0"/>
      <w:divBdr>
        <w:top w:val="none" w:sz="0" w:space="0" w:color="auto"/>
        <w:left w:val="none" w:sz="0" w:space="0" w:color="auto"/>
        <w:bottom w:val="none" w:sz="0" w:space="0" w:color="auto"/>
        <w:right w:val="none" w:sz="0" w:space="0" w:color="auto"/>
      </w:divBdr>
    </w:div>
    <w:div w:id="181865774">
      <w:bodyDiv w:val="1"/>
      <w:marLeft w:val="0"/>
      <w:marRight w:val="0"/>
      <w:marTop w:val="0"/>
      <w:marBottom w:val="0"/>
      <w:divBdr>
        <w:top w:val="none" w:sz="0" w:space="0" w:color="auto"/>
        <w:left w:val="none" w:sz="0" w:space="0" w:color="auto"/>
        <w:bottom w:val="none" w:sz="0" w:space="0" w:color="auto"/>
        <w:right w:val="none" w:sz="0" w:space="0" w:color="auto"/>
      </w:divBdr>
    </w:div>
    <w:div w:id="194462044">
      <w:bodyDiv w:val="1"/>
      <w:marLeft w:val="0"/>
      <w:marRight w:val="0"/>
      <w:marTop w:val="0"/>
      <w:marBottom w:val="0"/>
      <w:divBdr>
        <w:top w:val="none" w:sz="0" w:space="0" w:color="auto"/>
        <w:left w:val="none" w:sz="0" w:space="0" w:color="auto"/>
        <w:bottom w:val="none" w:sz="0" w:space="0" w:color="auto"/>
        <w:right w:val="none" w:sz="0" w:space="0" w:color="auto"/>
      </w:divBdr>
    </w:div>
    <w:div w:id="208763021">
      <w:bodyDiv w:val="1"/>
      <w:marLeft w:val="0"/>
      <w:marRight w:val="0"/>
      <w:marTop w:val="0"/>
      <w:marBottom w:val="0"/>
      <w:divBdr>
        <w:top w:val="none" w:sz="0" w:space="0" w:color="auto"/>
        <w:left w:val="none" w:sz="0" w:space="0" w:color="auto"/>
        <w:bottom w:val="none" w:sz="0" w:space="0" w:color="auto"/>
        <w:right w:val="none" w:sz="0" w:space="0" w:color="auto"/>
      </w:divBdr>
    </w:div>
    <w:div w:id="212617601">
      <w:bodyDiv w:val="1"/>
      <w:marLeft w:val="0"/>
      <w:marRight w:val="0"/>
      <w:marTop w:val="0"/>
      <w:marBottom w:val="0"/>
      <w:divBdr>
        <w:top w:val="none" w:sz="0" w:space="0" w:color="auto"/>
        <w:left w:val="none" w:sz="0" w:space="0" w:color="auto"/>
        <w:bottom w:val="none" w:sz="0" w:space="0" w:color="auto"/>
        <w:right w:val="none" w:sz="0" w:space="0" w:color="auto"/>
      </w:divBdr>
    </w:div>
    <w:div w:id="219168235">
      <w:bodyDiv w:val="1"/>
      <w:marLeft w:val="0"/>
      <w:marRight w:val="0"/>
      <w:marTop w:val="0"/>
      <w:marBottom w:val="0"/>
      <w:divBdr>
        <w:top w:val="none" w:sz="0" w:space="0" w:color="auto"/>
        <w:left w:val="none" w:sz="0" w:space="0" w:color="auto"/>
        <w:bottom w:val="none" w:sz="0" w:space="0" w:color="auto"/>
        <w:right w:val="none" w:sz="0" w:space="0" w:color="auto"/>
      </w:divBdr>
    </w:div>
    <w:div w:id="226187328">
      <w:bodyDiv w:val="1"/>
      <w:marLeft w:val="0"/>
      <w:marRight w:val="0"/>
      <w:marTop w:val="0"/>
      <w:marBottom w:val="0"/>
      <w:divBdr>
        <w:top w:val="none" w:sz="0" w:space="0" w:color="auto"/>
        <w:left w:val="none" w:sz="0" w:space="0" w:color="auto"/>
        <w:bottom w:val="none" w:sz="0" w:space="0" w:color="auto"/>
        <w:right w:val="none" w:sz="0" w:space="0" w:color="auto"/>
      </w:divBdr>
    </w:div>
    <w:div w:id="239759972">
      <w:bodyDiv w:val="1"/>
      <w:marLeft w:val="0"/>
      <w:marRight w:val="0"/>
      <w:marTop w:val="0"/>
      <w:marBottom w:val="0"/>
      <w:divBdr>
        <w:top w:val="none" w:sz="0" w:space="0" w:color="auto"/>
        <w:left w:val="none" w:sz="0" w:space="0" w:color="auto"/>
        <w:bottom w:val="none" w:sz="0" w:space="0" w:color="auto"/>
        <w:right w:val="none" w:sz="0" w:space="0" w:color="auto"/>
      </w:divBdr>
    </w:div>
    <w:div w:id="244187502">
      <w:bodyDiv w:val="1"/>
      <w:marLeft w:val="0"/>
      <w:marRight w:val="0"/>
      <w:marTop w:val="0"/>
      <w:marBottom w:val="0"/>
      <w:divBdr>
        <w:top w:val="none" w:sz="0" w:space="0" w:color="auto"/>
        <w:left w:val="none" w:sz="0" w:space="0" w:color="auto"/>
        <w:bottom w:val="none" w:sz="0" w:space="0" w:color="auto"/>
        <w:right w:val="none" w:sz="0" w:space="0" w:color="auto"/>
      </w:divBdr>
    </w:div>
    <w:div w:id="253830156">
      <w:bodyDiv w:val="1"/>
      <w:marLeft w:val="0"/>
      <w:marRight w:val="0"/>
      <w:marTop w:val="0"/>
      <w:marBottom w:val="0"/>
      <w:divBdr>
        <w:top w:val="none" w:sz="0" w:space="0" w:color="auto"/>
        <w:left w:val="none" w:sz="0" w:space="0" w:color="auto"/>
        <w:bottom w:val="none" w:sz="0" w:space="0" w:color="auto"/>
        <w:right w:val="none" w:sz="0" w:space="0" w:color="auto"/>
      </w:divBdr>
    </w:div>
    <w:div w:id="270670121">
      <w:bodyDiv w:val="1"/>
      <w:marLeft w:val="0"/>
      <w:marRight w:val="0"/>
      <w:marTop w:val="0"/>
      <w:marBottom w:val="0"/>
      <w:divBdr>
        <w:top w:val="none" w:sz="0" w:space="0" w:color="auto"/>
        <w:left w:val="none" w:sz="0" w:space="0" w:color="auto"/>
        <w:bottom w:val="none" w:sz="0" w:space="0" w:color="auto"/>
        <w:right w:val="none" w:sz="0" w:space="0" w:color="auto"/>
      </w:divBdr>
    </w:div>
    <w:div w:id="280766779">
      <w:bodyDiv w:val="1"/>
      <w:marLeft w:val="0"/>
      <w:marRight w:val="0"/>
      <w:marTop w:val="0"/>
      <w:marBottom w:val="0"/>
      <w:divBdr>
        <w:top w:val="none" w:sz="0" w:space="0" w:color="auto"/>
        <w:left w:val="none" w:sz="0" w:space="0" w:color="auto"/>
        <w:bottom w:val="none" w:sz="0" w:space="0" w:color="auto"/>
        <w:right w:val="none" w:sz="0" w:space="0" w:color="auto"/>
      </w:divBdr>
    </w:div>
    <w:div w:id="300967055">
      <w:bodyDiv w:val="1"/>
      <w:marLeft w:val="0"/>
      <w:marRight w:val="0"/>
      <w:marTop w:val="0"/>
      <w:marBottom w:val="0"/>
      <w:divBdr>
        <w:top w:val="none" w:sz="0" w:space="0" w:color="auto"/>
        <w:left w:val="none" w:sz="0" w:space="0" w:color="auto"/>
        <w:bottom w:val="none" w:sz="0" w:space="0" w:color="auto"/>
        <w:right w:val="none" w:sz="0" w:space="0" w:color="auto"/>
      </w:divBdr>
    </w:div>
    <w:div w:id="313074522">
      <w:bodyDiv w:val="1"/>
      <w:marLeft w:val="0"/>
      <w:marRight w:val="0"/>
      <w:marTop w:val="0"/>
      <w:marBottom w:val="0"/>
      <w:divBdr>
        <w:top w:val="none" w:sz="0" w:space="0" w:color="auto"/>
        <w:left w:val="none" w:sz="0" w:space="0" w:color="auto"/>
        <w:bottom w:val="none" w:sz="0" w:space="0" w:color="auto"/>
        <w:right w:val="none" w:sz="0" w:space="0" w:color="auto"/>
      </w:divBdr>
    </w:div>
    <w:div w:id="318925910">
      <w:bodyDiv w:val="1"/>
      <w:marLeft w:val="0"/>
      <w:marRight w:val="0"/>
      <w:marTop w:val="0"/>
      <w:marBottom w:val="0"/>
      <w:divBdr>
        <w:top w:val="none" w:sz="0" w:space="0" w:color="auto"/>
        <w:left w:val="none" w:sz="0" w:space="0" w:color="auto"/>
        <w:bottom w:val="none" w:sz="0" w:space="0" w:color="auto"/>
        <w:right w:val="none" w:sz="0" w:space="0" w:color="auto"/>
      </w:divBdr>
    </w:div>
    <w:div w:id="329647701">
      <w:bodyDiv w:val="1"/>
      <w:marLeft w:val="0"/>
      <w:marRight w:val="0"/>
      <w:marTop w:val="0"/>
      <w:marBottom w:val="0"/>
      <w:divBdr>
        <w:top w:val="none" w:sz="0" w:space="0" w:color="auto"/>
        <w:left w:val="none" w:sz="0" w:space="0" w:color="auto"/>
        <w:bottom w:val="none" w:sz="0" w:space="0" w:color="auto"/>
        <w:right w:val="none" w:sz="0" w:space="0" w:color="auto"/>
      </w:divBdr>
    </w:div>
    <w:div w:id="343244554">
      <w:bodyDiv w:val="1"/>
      <w:marLeft w:val="0"/>
      <w:marRight w:val="0"/>
      <w:marTop w:val="0"/>
      <w:marBottom w:val="0"/>
      <w:divBdr>
        <w:top w:val="none" w:sz="0" w:space="0" w:color="auto"/>
        <w:left w:val="none" w:sz="0" w:space="0" w:color="auto"/>
        <w:bottom w:val="none" w:sz="0" w:space="0" w:color="auto"/>
        <w:right w:val="none" w:sz="0" w:space="0" w:color="auto"/>
      </w:divBdr>
    </w:div>
    <w:div w:id="364137254">
      <w:bodyDiv w:val="1"/>
      <w:marLeft w:val="0"/>
      <w:marRight w:val="0"/>
      <w:marTop w:val="0"/>
      <w:marBottom w:val="0"/>
      <w:divBdr>
        <w:top w:val="none" w:sz="0" w:space="0" w:color="auto"/>
        <w:left w:val="none" w:sz="0" w:space="0" w:color="auto"/>
        <w:bottom w:val="none" w:sz="0" w:space="0" w:color="auto"/>
        <w:right w:val="none" w:sz="0" w:space="0" w:color="auto"/>
      </w:divBdr>
    </w:div>
    <w:div w:id="367680322">
      <w:bodyDiv w:val="1"/>
      <w:marLeft w:val="0"/>
      <w:marRight w:val="0"/>
      <w:marTop w:val="0"/>
      <w:marBottom w:val="0"/>
      <w:divBdr>
        <w:top w:val="none" w:sz="0" w:space="0" w:color="auto"/>
        <w:left w:val="none" w:sz="0" w:space="0" w:color="auto"/>
        <w:bottom w:val="none" w:sz="0" w:space="0" w:color="auto"/>
        <w:right w:val="none" w:sz="0" w:space="0" w:color="auto"/>
      </w:divBdr>
    </w:div>
    <w:div w:id="368185867">
      <w:bodyDiv w:val="1"/>
      <w:marLeft w:val="0"/>
      <w:marRight w:val="0"/>
      <w:marTop w:val="0"/>
      <w:marBottom w:val="0"/>
      <w:divBdr>
        <w:top w:val="none" w:sz="0" w:space="0" w:color="auto"/>
        <w:left w:val="none" w:sz="0" w:space="0" w:color="auto"/>
        <w:bottom w:val="none" w:sz="0" w:space="0" w:color="auto"/>
        <w:right w:val="none" w:sz="0" w:space="0" w:color="auto"/>
      </w:divBdr>
    </w:div>
    <w:div w:id="369116445">
      <w:bodyDiv w:val="1"/>
      <w:marLeft w:val="0"/>
      <w:marRight w:val="0"/>
      <w:marTop w:val="0"/>
      <w:marBottom w:val="0"/>
      <w:divBdr>
        <w:top w:val="none" w:sz="0" w:space="0" w:color="auto"/>
        <w:left w:val="none" w:sz="0" w:space="0" w:color="auto"/>
        <w:bottom w:val="none" w:sz="0" w:space="0" w:color="auto"/>
        <w:right w:val="none" w:sz="0" w:space="0" w:color="auto"/>
      </w:divBdr>
    </w:div>
    <w:div w:id="372389921">
      <w:bodyDiv w:val="1"/>
      <w:marLeft w:val="0"/>
      <w:marRight w:val="0"/>
      <w:marTop w:val="0"/>
      <w:marBottom w:val="0"/>
      <w:divBdr>
        <w:top w:val="none" w:sz="0" w:space="0" w:color="auto"/>
        <w:left w:val="none" w:sz="0" w:space="0" w:color="auto"/>
        <w:bottom w:val="none" w:sz="0" w:space="0" w:color="auto"/>
        <w:right w:val="none" w:sz="0" w:space="0" w:color="auto"/>
      </w:divBdr>
    </w:div>
    <w:div w:id="378818332">
      <w:bodyDiv w:val="1"/>
      <w:marLeft w:val="0"/>
      <w:marRight w:val="0"/>
      <w:marTop w:val="0"/>
      <w:marBottom w:val="0"/>
      <w:divBdr>
        <w:top w:val="none" w:sz="0" w:space="0" w:color="auto"/>
        <w:left w:val="none" w:sz="0" w:space="0" w:color="auto"/>
        <w:bottom w:val="none" w:sz="0" w:space="0" w:color="auto"/>
        <w:right w:val="none" w:sz="0" w:space="0" w:color="auto"/>
      </w:divBdr>
    </w:div>
    <w:div w:id="395857254">
      <w:bodyDiv w:val="1"/>
      <w:marLeft w:val="0"/>
      <w:marRight w:val="0"/>
      <w:marTop w:val="0"/>
      <w:marBottom w:val="0"/>
      <w:divBdr>
        <w:top w:val="none" w:sz="0" w:space="0" w:color="auto"/>
        <w:left w:val="none" w:sz="0" w:space="0" w:color="auto"/>
        <w:bottom w:val="none" w:sz="0" w:space="0" w:color="auto"/>
        <w:right w:val="none" w:sz="0" w:space="0" w:color="auto"/>
      </w:divBdr>
    </w:div>
    <w:div w:id="405227437">
      <w:bodyDiv w:val="1"/>
      <w:marLeft w:val="0"/>
      <w:marRight w:val="0"/>
      <w:marTop w:val="0"/>
      <w:marBottom w:val="0"/>
      <w:divBdr>
        <w:top w:val="none" w:sz="0" w:space="0" w:color="auto"/>
        <w:left w:val="none" w:sz="0" w:space="0" w:color="auto"/>
        <w:bottom w:val="none" w:sz="0" w:space="0" w:color="auto"/>
        <w:right w:val="none" w:sz="0" w:space="0" w:color="auto"/>
      </w:divBdr>
    </w:div>
    <w:div w:id="423647524">
      <w:bodyDiv w:val="1"/>
      <w:marLeft w:val="0"/>
      <w:marRight w:val="0"/>
      <w:marTop w:val="0"/>
      <w:marBottom w:val="0"/>
      <w:divBdr>
        <w:top w:val="none" w:sz="0" w:space="0" w:color="auto"/>
        <w:left w:val="none" w:sz="0" w:space="0" w:color="auto"/>
        <w:bottom w:val="none" w:sz="0" w:space="0" w:color="auto"/>
        <w:right w:val="none" w:sz="0" w:space="0" w:color="auto"/>
      </w:divBdr>
    </w:div>
    <w:div w:id="456215502">
      <w:bodyDiv w:val="1"/>
      <w:marLeft w:val="0"/>
      <w:marRight w:val="0"/>
      <w:marTop w:val="0"/>
      <w:marBottom w:val="0"/>
      <w:divBdr>
        <w:top w:val="none" w:sz="0" w:space="0" w:color="auto"/>
        <w:left w:val="none" w:sz="0" w:space="0" w:color="auto"/>
        <w:bottom w:val="none" w:sz="0" w:space="0" w:color="auto"/>
        <w:right w:val="none" w:sz="0" w:space="0" w:color="auto"/>
      </w:divBdr>
    </w:div>
    <w:div w:id="460078455">
      <w:bodyDiv w:val="1"/>
      <w:marLeft w:val="0"/>
      <w:marRight w:val="0"/>
      <w:marTop w:val="0"/>
      <w:marBottom w:val="0"/>
      <w:divBdr>
        <w:top w:val="none" w:sz="0" w:space="0" w:color="auto"/>
        <w:left w:val="none" w:sz="0" w:space="0" w:color="auto"/>
        <w:bottom w:val="none" w:sz="0" w:space="0" w:color="auto"/>
        <w:right w:val="none" w:sz="0" w:space="0" w:color="auto"/>
      </w:divBdr>
    </w:div>
    <w:div w:id="472601270">
      <w:bodyDiv w:val="1"/>
      <w:marLeft w:val="0"/>
      <w:marRight w:val="0"/>
      <w:marTop w:val="0"/>
      <w:marBottom w:val="0"/>
      <w:divBdr>
        <w:top w:val="none" w:sz="0" w:space="0" w:color="auto"/>
        <w:left w:val="none" w:sz="0" w:space="0" w:color="auto"/>
        <w:bottom w:val="none" w:sz="0" w:space="0" w:color="auto"/>
        <w:right w:val="none" w:sz="0" w:space="0" w:color="auto"/>
      </w:divBdr>
    </w:div>
    <w:div w:id="476338204">
      <w:bodyDiv w:val="1"/>
      <w:marLeft w:val="0"/>
      <w:marRight w:val="0"/>
      <w:marTop w:val="0"/>
      <w:marBottom w:val="0"/>
      <w:divBdr>
        <w:top w:val="none" w:sz="0" w:space="0" w:color="auto"/>
        <w:left w:val="none" w:sz="0" w:space="0" w:color="auto"/>
        <w:bottom w:val="none" w:sz="0" w:space="0" w:color="auto"/>
        <w:right w:val="none" w:sz="0" w:space="0" w:color="auto"/>
      </w:divBdr>
    </w:div>
    <w:div w:id="477040309">
      <w:bodyDiv w:val="1"/>
      <w:marLeft w:val="0"/>
      <w:marRight w:val="0"/>
      <w:marTop w:val="0"/>
      <w:marBottom w:val="0"/>
      <w:divBdr>
        <w:top w:val="none" w:sz="0" w:space="0" w:color="auto"/>
        <w:left w:val="none" w:sz="0" w:space="0" w:color="auto"/>
        <w:bottom w:val="none" w:sz="0" w:space="0" w:color="auto"/>
        <w:right w:val="none" w:sz="0" w:space="0" w:color="auto"/>
      </w:divBdr>
    </w:div>
    <w:div w:id="490566021">
      <w:bodyDiv w:val="1"/>
      <w:marLeft w:val="0"/>
      <w:marRight w:val="0"/>
      <w:marTop w:val="0"/>
      <w:marBottom w:val="0"/>
      <w:divBdr>
        <w:top w:val="none" w:sz="0" w:space="0" w:color="auto"/>
        <w:left w:val="none" w:sz="0" w:space="0" w:color="auto"/>
        <w:bottom w:val="none" w:sz="0" w:space="0" w:color="auto"/>
        <w:right w:val="none" w:sz="0" w:space="0" w:color="auto"/>
      </w:divBdr>
    </w:div>
    <w:div w:id="523516806">
      <w:bodyDiv w:val="1"/>
      <w:marLeft w:val="0"/>
      <w:marRight w:val="0"/>
      <w:marTop w:val="0"/>
      <w:marBottom w:val="0"/>
      <w:divBdr>
        <w:top w:val="none" w:sz="0" w:space="0" w:color="auto"/>
        <w:left w:val="none" w:sz="0" w:space="0" w:color="auto"/>
        <w:bottom w:val="none" w:sz="0" w:space="0" w:color="auto"/>
        <w:right w:val="none" w:sz="0" w:space="0" w:color="auto"/>
      </w:divBdr>
    </w:div>
    <w:div w:id="525800768">
      <w:bodyDiv w:val="1"/>
      <w:marLeft w:val="0"/>
      <w:marRight w:val="0"/>
      <w:marTop w:val="0"/>
      <w:marBottom w:val="0"/>
      <w:divBdr>
        <w:top w:val="none" w:sz="0" w:space="0" w:color="auto"/>
        <w:left w:val="none" w:sz="0" w:space="0" w:color="auto"/>
        <w:bottom w:val="none" w:sz="0" w:space="0" w:color="auto"/>
        <w:right w:val="none" w:sz="0" w:space="0" w:color="auto"/>
      </w:divBdr>
    </w:div>
    <w:div w:id="527988293">
      <w:bodyDiv w:val="1"/>
      <w:marLeft w:val="0"/>
      <w:marRight w:val="0"/>
      <w:marTop w:val="0"/>
      <w:marBottom w:val="0"/>
      <w:divBdr>
        <w:top w:val="none" w:sz="0" w:space="0" w:color="auto"/>
        <w:left w:val="none" w:sz="0" w:space="0" w:color="auto"/>
        <w:bottom w:val="none" w:sz="0" w:space="0" w:color="auto"/>
        <w:right w:val="none" w:sz="0" w:space="0" w:color="auto"/>
      </w:divBdr>
    </w:div>
    <w:div w:id="528227777">
      <w:bodyDiv w:val="1"/>
      <w:marLeft w:val="0"/>
      <w:marRight w:val="0"/>
      <w:marTop w:val="0"/>
      <w:marBottom w:val="0"/>
      <w:divBdr>
        <w:top w:val="none" w:sz="0" w:space="0" w:color="auto"/>
        <w:left w:val="none" w:sz="0" w:space="0" w:color="auto"/>
        <w:bottom w:val="none" w:sz="0" w:space="0" w:color="auto"/>
        <w:right w:val="none" w:sz="0" w:space="0" w:color="auto"/>
      </w:divBdr>
    </w:div>
    <w:div w:id="536354774">
      <w:bodyDiv w:val="1"/>
      <w:marLeft w:val="0"/>
      <w:marRight w:val="0"/>
      <w:marTop w:val="0"/>
      <w:marBottom w:val="0"/>
      <w:divBdr>
        <w:top w:val="none" w:sz="0" w:space="0" w:color="auto"/>
        <w:left w:val="none" w:sz="0" w:space="0" w:color="auto"/>
        <w:bottom w:val="none" w:sz="0" w:space="0" w:color="auto"/>
        <w:right w:val="none" w:sz="0" w:space="0" w:color="auto"/>
      </w:divBdr>
    </w:div>
    <w:div w:id="539437873">
      <w:bodyDiv w:val="1"/>
      <w:marLeft w:val="0"/>
      <w:marRight w:val="0"/>
      <w:marTop w:val="0"/>
      <w:marBottom w:val="0"/>
      <w:divBdr>
        <w:top w:val="none" w:sz="0" w:space="0" w:color="auto"/>
        <w:left w:val="none" w:sz="0" w:space="0" w:color="auto"/>
        <w:bottom w:val="none" w:sz="0" w:space="0" w:color="auto"/>
        <w:right w:val="none" w:sz="0" w:space="0" w:color="auto"/>
      </w:divBdr>
    </w:div>
    <w:div w:id="543257591">
      <w:bodyDiv w:val="1"/>
      <w:marLeft w:val="0"/>
      <w:marRight w:val="0"/>
      <w:marTop w:val="0"/>
      <w:marBottom w:val="0"/>
      <w:divBdr>
        <w:top w:val="none" w:sz="0" w:space="0" w:color="auto"/>
        <w:left w:val="none" w:sz="0" w:space="0" w:color="auto"/>
        <w:bottom w:val="none" w:sz="0" w:space="0" w:color="auto"/>
        <w:right w:val="none" w:sz="0" w:space="0" w:color="auto"/>
      </w:divBdr>
    </w:div>
    <w:div w:id="544875290">
      <w:bodyDiv w:val="1"/>
      <w:marLeft w:val="0"/>
      <w:marRight w:val="0"/>
      <w:marTop w:val="0"/>
      <w:marBottom w:val="0"/>
      <w:divBdr>
        <w:top w:val="none" w:sz="0" w:space="0" w:color="auto"/>
        <w:left w:val="none" w:sz="0" w:space="0" w:color="auto"/>
        <w:bottom w:val="none" w:sz="0" w:space="0" w:color="auto"/>
        <w:right w:val="none" w:sz="0" w:space="0" w:color="auto"/>
      </w:divBdr>
    </w:div>
    <w:div w:id="546257161">
      <w:bodyDiv w:val="1"/>
      <w:marLeft w:val="0"/>
      <w:marRight w:val="0"/>
      <w:marTop w:val="0"/>
      <w:marBottom w:val="0"/>
      <w:divBdr>
        <w:top w:val="none" w:sz="0" w:space="0" w:color="auto"/>
        <w:left w:val="none" w:sz="0" w:space="0" w:color="auto"/>
        <w:bottom w:val="none" w:sz="0" w:space="0" w:color="auto"/>
        <w:right w:val="none" w:sz="0" w:space="0" w:color="auto"/>
      </w:divBdr>
    </w:div>
    <w:div w:id="547954066">
      <w:bodyDiv w:val="1"/>
      <w:marLeft w:val="0"/>
      <w:marRight w:val="0"/>
      <w:marTop w:val="0"/>
      <w:marBottom w:val="0"/>
      <w:divBdr>
        <w:top w:val="none" w:sz="0" w:space="0" w:color="auto"/>
        <w:left w:val="none" w:sz="0" w:space="0" w:color="auto"/>
        <w:bottom w:val="none" w:sz="0" w:space="0" w:color="auto"/>
        <w:right w:val="none" w:sz="0" w:space="0" w:color="auto"/>
      </w:divBdr>
    </w:div>
    <w:div w:id="551817382">
      <w:bodyDiv w:val="1"/>
      <w:marLeft w:val="0"/>
      <w:marRight w:val="0"/>
      <w:marTop w:val="0"/>
      <w:marBottom w:val="0"/>
      <w:divBdr>
        <w:top w:val="none" w:sz="0" w:space="0" w:color="auto"/>
        <w:left w:val="none" w:sz="0" w:space="0" w:color="auto"/>
        <w:bottom w:val="none" w:sz="0" w:space="0" w:color="auto"/>
        <w:right w:val="none" w:sz="0" w:space="0" w:color="auto"/>
      </w:divBdr>
    </w:div>
    <w:div w:id="555629782">
      <w:bodyDiv w:val="1"/>
      <w:marLeft w:val="0"/>
      <w:marRight w:val="0"/>
      <w:marTop w:val="0"/>
      <w:marBottom w:val="0"/>
      <w:divBdr>
        <w:top w:val="none" w:sz="0" w:space="0" w:color="auto"/>
        <w:left w:val="none" w:sz="0" w:space="0" w:color="auto"/>
        <w:bottom w:val="none" w:sz="0" w:space="0" w:color="auto"/>
        <w:right w:val="none" w:sz="0" w:space="0" w:color="auto"/>
      </w:divBdr>
    </w:div>
    <w:div w:id="572662605">
      <w:bodyDiv w:val="1"/>
      <w:marLeft w:val="0"/>
      <w:marRight w:val="0"/>
      <w:marTop w:val="0"/>
      <w:marBottom w:val="0"/>
      <w:divBdr>
        <w:top w:val="none" w:sz="0" w:space="0" w:color="auto"/>
        <w:left w:val="none" w:sz="0" w:space="0" w:color="auto"/>
        <w:bottom w:val="none" w:sz="0" w:space="0" w:color="auto"/>
        <w:right w:val="none" w:sz="0" w:space="0" w:color="auto"/>
      </w:divBdr>
    </w:div>
    <w:div w:id="583228961">
      <w:bodyDiv w:val="1"/>
      <w:marLeft w:val="0"/>
      <w:marRight w:val="0"/>
      <w:marTop w:val="0"/>
      <w:marBottom w:val="0"/>
      <w:divBdr>
        <w:top w:val="none" w:sz="0" w:space="0" w:color="auto"/>
        <w:left w:val="none" w:sz="0" w:space="0" w:color="auto"/>
        <w:bottom w:val="none" w:sz="0" w:space="0" w:color="auto"/>
        <w:right w:val="none" w:sz="0" w:space="0" w:color="auto"/>
      </w:divBdr>
    </w:div>
    <w:div w:id="585766072">
      <w:bodyDiv w:val="1"/>
      <w:marLeft w:val="0"/>
      <w:marRight w:val="0"/>
      <w:marTop w:val="0"/>
      <w:marBottom w:val="0"/>
      <w:divBdr>
        <w:top w:val="none" w:sz="0" w:space="0" w:color="auto"/>
        <w:left w:val="none" w:sz="0" w:space="0" w:color="auto"/>
        <w:bottom w:val="none" w:sz="0" w:space="0" w:color="auto"/>
        <w:right w:val="none" w:sz="0" w:space="0" w:color="auto"/>
      </w:divBdr>
    </w:div>
    <w:div w:id="591165315">
      <w:bodyDiv w:val="1"/>
      <w:marLeft w:val="0"/>
      <w:marRight w:val="0"/>
      <w:marTop w:val="0"/>
      <w:marBottom w:val="0"/>
      <w:divBdr>
        <w:top w:val="none" w:sz="0" w:space="0" w:color="auto"/>
        <w:left w:val="none" w:sz="0" w:space="0" w:color="auto"/>
        <w:bottom w:val="none" w:sz="0" w:space="0" w:color="auto"/>
        <w:right w:val="none" w:sz="0" w:space="0" w:color="auto"/>
      </w:divBdr>
    </w:div>
    <w:div w:id="631835988">
      <w:bodyDiv w:val="1"/>
      <w:marLeft w:val="0"/>
      <w:marRight w:val="0"/>
      <w:marTop w:val="0"/>
      <w:marBottom w:val="0"/>
      <w:divBdr>
        <w:top w:val="none" w:sz="0" w:space="0" w:color="auto"/>
        <w:left w:val="none" w:sz="0" w:space="0" w:color="auto"/>
        <w:bottom w:val="none" w:sz="0" w:space="0" w:color="auto"/>
        <w:right w:val="none" w:sz="0" w:space="0" w:color="auto"/>
      </w:divBdr>
    </w:div>
    <w:div w:id="649480425">
      <w:bodyDiv w:val="1"/>
      <w:marLeft w:val="0"/>
      <w:marRight w:val="0"/>
      <w:marTop w:val="0"/>
      <w:marBottom w:val="0"/>
      <w:divBdr>
        <w:top w:val="none" w:sz="0" w:space="0" w:color="auto"/>
        <w:left w:val="none" w:sz="0" w:space="0" w:color="auto"/>
        <w:bottom w:val="none" w:sz="0" w:space="0" w:color="auto"/>
        <w:right w:val="none" w:sz="0" w:space="0" w:color="auto"/>
      </w:divBdr>
    </w:div>
    <w:div w:id="662781982">
      <w:bodyDiv w:val="1"/>
      <w:marLeft w:val="0"/>
      <w:marRight w:val="0"/>
      <w:marTop w:val="0"/>
      <w:marBottom w:val="0"/>
      <w:divBdr>
        <w:top w:val="none" w:sz="0" w:space="0" w:color="auto"/>
        <w:left w:val="none" w:sz="0" w:space="0" w:color="auto"/>
        <w:bottom w:val="none" w:sz="0" w:space="0" w:color="auto"/>
        <w:right w:val="none" w:sz="0" w:space="0" w:color="auto"/>
      </w:divBdr>
    </w:div>
    <w:div w:id="669675736">
      <w:bodyDiv w:val="1"/>
      <w:marLeft w:val="0"/>
      <w:marRight w:val="0"/>
      <w:marTop w:val="0"/>
      <w:marBottom w:val="0"/>
      <w:divBdr>
        <w:top w:val="none" w:sz="0" w:space="0" w:color="auto"/>
        <w:left w:val="none" w:sz="0" w:space="0" w:color="auto"/>
        <w:bottom w:val="none" w:sz="0" w:space="0" w:color="auto"/>
        <w:right w:val="none" w:sz="0" w:space="0" w:color="auto"/>
      </w:divBdr>
    </w:div>
    <w:div w:id="683484420">
      <w:bodyDiv w:val="1"/>
      <w:marLeft w:val="0"/>
      <w:marRight w:val="0"/>
      <w:marTop w:val="0"/>
      <w:marBottom w:val="0"/>
      <w:divBdr>
        <w:top w:val="none" w:sz="0" w:space="0" w:color="auto"/>
        <w:left w:val="none" w:sz="0" w:space="0" w:color="auto"/>
        <w:bottom w:val="none" w:sz="0" w:space="0" w:color="auto"/>
        <w:right w:val="none" w:sz="0" w:space="0" w:color="auto"/>
      </w:divBdr>
    </w:div>
    <w:div w:id="690448977">
      <w:bodyDiv w:val="1"/>
      <w:marLeft w:val="0"/>
      <w:marRight w:val="0"/>
      <w:marTop w:val="0"/>
      <w:marBottom w:val="0"/>
      <w:divBdr>
        <w:top w:val="none" w:sz="0" w:space="0" w:color="auto"/>
        <w:left w:val="none" w:sz="0" w:space="0" w:color="auto"/>
        <w:bottom w:val="none" w:sz="0" w:space="0" w:color="auto"/>
        <w:right w:val="none" w:sz="0" w:space="0" w:color="auto"/>
      </w:divBdr>
    </w:div>
    <w:div w:id="700789472">
      <w:bodyDiv w:val="1"/>
      <w:marLeft w:val="0"/>
      <w:marRight w:val="0"/>
      <w:marTop w:val="0"/>
      <w:marBottom w:val="0"/>
      <w:divBdr>
        <w:top w:val="none" w:sz="0" w:space="0" w:color="auto"/>
        <w:left w:val="none" w:sz="0" w:space="0" w:color="auto"/>
        <w:bottom w:val="none" w:sz="0" w:space="0" w:color="auto"/>
        <w:right w:val="none" w:sz="0" w:space="0" w:color="auto"/>
      </w:divBdr>
    </w:div>
    <w:div w:id="706678803">
      <w:bodyDiv w:val="1"/>
      <w:marLeft w:val="0"/>
      <w:marRight w:val="0"/>
      <w:marTop w:val="0"/>
      <w:marBottom w:val="0"/>
      <w:divBdr>
        <w:top w:val="none" w:sz="0" w:space="0" w:color="auto"/>
        <w:left w:val="none" w:sz="0" w:space="0" w:color="auto"/>
        <w:bottom w:val="none" w:sz="0" w:space="0" w:color="auto"/>
        <w:right w:val="none" w:sz="0" w:space="0" w:color="auto"/>
      </w:divBdr>
    </w:div>
    <w:div w:id="717976892">
      <w:bodyDiv w:val="1"/>
      <w:marLeft w:val="0"/>
      <w:marRight w:val="0"/>
      <w:marTop w:val="0"/>
      <w:marBottom w:val="0"/>
      <w:divBdr>
        <w:top w:val="none" w:sz="0" w:space="0" w:color="auto"/>
        <w:left w:val="none" w:sz="0" w:space="0" w:color="auto"/>
        <w:bottom w:val="none" w:sz="0" w:space="0" w:color="auto"/>
        <w:right w:val="none" w:sz="0" w:space="0" w:color="auto"/>
      </w:divBdr>
    </w:div>
    <w:div w:id="719935441">
      <w:bodyDiv w:val="1"/>
      <w:marLeft w:val="0"/>
      <w:marRight w:val="0"/>
      <w:marTop w:val="0"/>
      <w:marBottom w:val="0"/>
      <w:divBdr>
        <w:top w:val="none" w:sz="0" w:space="0" w:color="auto"/>
        <w:left w:val="none" w:sz="0" w:space="0" w:color="auto"/>
        <w:bottom w:val="none" w:sz="0" w:space="0" w:color="auto"/>
        <w:right w:val="none" w:sz="0" w:space="0" w:color="auto"/>
      </w:divBdr>
    </w:div>
    <w:div w:id="735855401">
      <w:bodyDiv w:val="1"/>
      <w:marLeft w:val="0"/>
      <w:marRight w:val="0"/>
      <w:marTop w:val="0"/>
      <w:marBottom w:val="0"/>
      <w:divBdr>
        <w:top w:val="none" w:sz="0" w:space="0" w:color="auto"/>
        <w:left w:val="none" w:sz="0" w:space="0" w:color="auto"/>
        <w:bottom w:val="none" w:sz="0" w:space="0" w:color="auto"/>
        <w:right w:val="none" w:sz="0" w:space="0" w:color="auto"/>
      </w:divBdr>
    </w:div>
    <w:div w:id="740370652">
      <w:bodyDiv w:val="1"/>
      <w:marLeft w:val="0"/>
      <w:marRight w:val="0"/>
      <w:marTop w:val="0"/>
      <w:marBottom w:val="0"/>
      <w:divBdr>
        <w:top w:val="none" w:sz="0" w:space="0" w:color="auto"/>
        <w:left w:val="none" w:sz="0" w:space="0" w:color="auto"/>
        <w:bottom w:val="none" w:sz="0" w:space="0" w:color="auto"/>
        <w:right w:val="none" w:sz="0" w:space="0" w:color="auto"/>
      </w:divBdr>
    </w:div>
    <w:div w:id="767851090">
      <w:bodyDiv w:val="1"/>
      <w:marLeft w:val="0"/>
      <w:marRight w:val="0"/>
      <w:marTop w:val="0"/>
      <w:marBottom w:val="0"/>
      <w:divBdr>
        <w:top w:val="none" w:sz="0" w:space="0" w:color="auto"/>
        <w:left w:val="none" w:sz="0" w:space="0" w:color="auto"/>
        <w:bottom w:val="none" w:sz="0" w:space="0" w:color="auto"/>
        <w:right w:val="none" w:sz="0" w:space="0" w:color="auto"/>
      </w:divBdr>
    </w:div>
    <w:div w:id="774131756">
      <w:bodyDiv w:val="1"/>
      <w:marLeft w:val="0"/>
      <w:marRight w:val="0"/>
      <w:marTop w:val="0"/>
      <w:marBottom w:val="0"/>
      <w:divBdr>
        <w:top w:val="none" w:sz="0" w:space="0" w:color="auto"/>
        <w:left w:val="none" w:sz="0" w:space="0" w:color="auto"/>
        <w:bottom w:val="none" w:sz="0" w:space="0" w:color="auto"/>
        <w:right w:val="none" w:sz="0" w:space="0" w:color="auto"/>
      </w:divBdr>
    </w:div>
    <w:div w:id="777677249">
      <w:bodyDiv w:val="1"/>
      <w:marLeft w:val="0"/>
      <w:marRight w:val="0"/>
      <w:marTop w:val="0"/>
      <w:marBottom w:val="0"/>
      <w:divBdr>
        <w:top w:val="none" w:sz="0" w:space="0" w:color="auto"/>
        <w:left w:val="none" w:sz="0" w:space="0" w:color="auto"/>
        <w:bottom w:val="none" w:sz="0" w:space="0" w:color="auto"/>
        <w:right w:val="none" w:sz="0" w:space="0" w:color="auto"/>
      </w:divBdr>
    </w:div>
    <w:div w:id="799761722">
      <w:bodyDiv w:val="1"/>
      <w:marLeft w:val="0"/>
      <w:marRight w:val="0"/>
      <w:marTop w:val="0"/>
      <w:marBottom w:val="0"/>
      <w:divBdr>
        <w:top w:val="none" w:sz="0" w:space="0" w:color="auto"/>
        <w:left w:val="none" w:sz="0" w:space="0" w:color="auto"/>
        <w:bottom w:val="none" w:sz="0" w:space="0" w:color="auto"/>
        <w:right w:val="none" w:sz="0" w:space="0" w:color="auto"/>
      </w:divBdr>
    </w:div>
    <w:div w:id="800154173">
      <w:bodyDiv w:val="1"/>
      <w:marLeft w:val="0"/>
      <w:marRight w:val="0"/>
      <w:marTop w:val="0"/>
      <w:marBottom w:val="0"/>
      <w:divBdr>
        <w:top w:val="none" w:sz="0" w:space="0" w:color="auto"/>
        <w:left w:val="none" w:sz="0" w:space="0" w:color="auto"/>
        <w:bottom w:val="none" w:sz="0" w:space="0" w:color="auto"/>
        <w:right w:val="none" w:sz="0" w:space="0" w:color="auto"/>
      </w:divBdr>
    </w:div>
    <w:div w:id="824586538">
      <w:bodyDiv w:val="1"/>
      <w:marLeft w:val="0"/>
      <w:marRight w:val="0"/>
      <w:marTop w:val="0"/>
      <w:marBottom w:val="0"/>
      <w:divBdr>
        <w:top w:val="none" w:sz="0" w:space="0" w:color="auto"/>
        <w:left w:val="none" w:sz="0" w:space="0" w:color="auto"/>
        <w:bottom w:val="none" w:sz="0" w:space="0" w:color="auto"/>
        <w:right w:val="none" w:sz="0" w:space="0" w:color="auto"/>
      </w:divBdr>
    </w:div>
    <w:div w:id="826896130">
      <w:bodyDiv w:val="1"/>
      <w:marLeft w:val="0"/>
      <w:marRight w:val="0"/>
      <w:marTop w:val="0"/>
      <w:marBottom w:val="0"/>
      <w:divBdr>
        <w:top w:val="none" w:sz="0" w:space="0" w:color="auto"/>
        <w:left w:val="none" w:sz="0" w:space="0" w:color="auto"/>
        <w:bottom w:val="none" w:sz="0" w:space="0" w:color="auto"/>
        <w:right w:val="none" w:sz="0" w:space="0" w:color="auto"/>
      </w:divBdr>
    </w:div>
    <w:div w:id="827096408">
      <w:bodyDiv w:val="1"/>
      <w:marLeft w:val="0"/>
      <w:marRight w:val="0"/>
      <w:marTop w:val="0"/>
      <w:marBottom w:val="0"/>
      <w:divBdr>
        <w:top w:val="none" w:sz="0" w:space="0" w:color="auto"/>
        <w:left w:val="none" w:sz="0" w:space="0" w:color="auto"/>
        <w:bottom w:val="none" w:sz="0" w:space="0" w:color="auto"/>
        <w:right w:val="none" w:sz="0" w:space="0" w:color="auto"/>
      </w:divBdr>
    </w:div>
    <w:div w:id="829105661">
      <w:bodyDiv w:val="1"/>
      <w:marLeft w:val="0"/>
      <w:marRight w:val="0"/>
      <w:marTop w:val="0"/>
      <w:marBottom w:val="0"/>
      <w:divBdr>
        <w:top w:val="none" w:sz="0" w:space="0" w:color="auto"/>
        <w:left w:val="none" w:sz="0" w:space="0" w:color="auto"/>
        <w:bottom w:val="none" w:sz="0" w:space="0" w:color="auto"/>
        <w:right w:val="none" w:sz="0" w:space="0" w:color="auto"/>
      </w:divBdr>
    </w:div>
    <w:div w:id="861162177">
      <w:bodyDiv w:val="1"/>
      <w:marLeft w:val="0"/>
      <w:marRight w:val="0"/>
      <w:marTop w:val="0"/>
      <w:marBottom w:val="0"/>
      <w:divBdr>
        <w:top w:val="none" w:sz="0" w:space="0" w:color="auto"/>
        <w:left w:val="none" w:sz="0" w:space="0" w:color="auto"/>
        <w:bottom w:val="none" w:sz="0" w:space="0" w:color="auto"/>
        <w:right w:val="none" w:sz="0" w:space="0" w:color="auto"/>
      </w:divBdr>
    </w:div>
    <w:div w:id="888809215">
      <w:bodyDiv w:val="1"/>
      <w:marLeft w:val="0"/>
      <w:marRight w:val="0"/>
      <w:marTop w:val="0"/>
      <w:marBottom w:val="0"/>
      <w:divBdr>
        <w:top w:val="none" w:sz="0" w:space="0" w:color="auto"/>
        <w:left w:val="none" w:sz="0" w:space="0" w:color="auto"/>
        <w:bottom w:val="none" w:sz="0" w:space="0" w:color="auto"/>
        <w:right w:val="none" w:sz="0" w:space="0" w:color="auto"/>
      </w:divBdr>
    </w:div>
    <w:div w:id="889607337">
      <w:bodyDiv w:val="1"/>
      <w:marLeft w:val="0"/>
      <w:marRight w:val="0"/>
      <w:marTop w:val="0"/>
      <w:marBottom w:val="0"/>
      <w:divBdr>
        <w:top w:val="none" w:sz="0" w:space="0" w:color="auto"/>
        <w:left w:val="none" w:sz="0" w:space="0" w:color="auto"/>
        <w:bottom w:val="none" w:sz="0" w:space="0" w:color="auto"/>
        <w:right w:val="none" w:sz="0" w:space="0" w:color="auto"/>
      </w:divBdr>
    </w:div>
    <w:div w:id="932930240">
      <w:bodyDiv w:val="1"/>
      <w:marLeft w:val="0"/>
      <w:marRight w:val="0"/>
      <w:marTop w:val="0"/>
      <w:marBottom w:val="0"/>
      <w:divBdr>
        <w:top w:val="none" w:sz="0" w:space="0" w:color="auto"/>
        <w:left w:val="none" w:sz="0" w:space="0" w:color="auto"/>
        <w:bottom w:val="none" w:sz="0" w:space="0" w:color="auto"/>
        <w:right w:val="none" w:sz="0" w:space="0" w:color="auto"/>
      </w:divBdr>
    </w:div>
    <w:div w:id="952594280">
      <w:bodyDiv w:val="1"/>
      <w:marLeft w:val="0"/>
      <w:marRight w:val="0"/>
      <w:marTop w:val="0"/>
      <w:marBottom w:val="0"/>
      <w:divBdr>
        <w:top w:val="none" w:sz="0" w:space="0" w:color="auto"/>
        <w:left w:val="none" w:sz="0" w:space="0" w:color="auto"/>
        <w:bottom w:val="none" w:sz="0" w:space="0" w:color="auto"/>
        <w:right w:val="none" w:sz="0" w:space="0" w:color="auto"/>
      </w:divBdr>
    </w:div>
    <w:div w:id="957876419">
      <w:bodyDiv w:val="1"/>
      <w:marLeft w:val="0"/>
      <w:marRight w:val="0"/>
      <w:marTop w:val="0"/>
      <w:marBottom w:val="0"/>
      <w:divBdr>
        <w:top w:val="none" w:sz="0" w:space="0" w:color="auto"/>
        <w:left w:val="none" w:sz="0" w:space="0" w:color="auto"/>
        <w:bottom w:val="none" w:sz="0" w:space="0" w:color="auto"/>
        <w:right w:val="none" w:sz="0" w:space="0" w:color="auto"/>
      </w:divBdr>
    </w:div>
    <w:div w:id="967665355">
      <w:bodyDiv w:val="1"/>
      <w:marLeft w:val="0"/>
      <w:marRight w:val="0"/>
      <w:marTop w:val="0"/>
      <w:marBottom w:val="0"/>
      <w:divBdr>
        <w:top w:val="none" w:sz="0" w:space="0" w:color="auto"/>
        <w:left w:val="none" w:sz="0" w:space="0" w:color="auto"/>
        <w:bottom w:val="none" w:sz="0" w:space="0" w:color="auto"/>
        <w:right w:val="none" w:sz="0" w:space="0" w:color="auto"/>
      </w:divBdr>
    </w:div>
    <w:div w:id="972566413">
      <w:bodyDiv w:val="1"/>
      <w:marLeft w:val="0"/>
      <w:marRight w:val="0"/>
      <w:marTop w:val="0"/>
      <w:marBottom w:val="0"/>
      <w:divBdr>
        <w:top w:val="none" w:sz="0" w:space="0" w:color="auto"/>
        <w:left w:val="none" w:sz="0" w:space="0" w:color="auto"/>
        <w:bottom w:val="none" w:sz="0" w:space="0" w:color="auto"/>
        <w:right w:val="none" w:sz="0" w:space="0" w:color="auto"/>
      </w:divBdr>
    </w:div>
    <w:div w:id="976685124">
      <w:bodyDiv w:val="1"/>
      <w:marLeft w:val="0"/>
      <w:marRight w:val="0"/>
      <w:marTop w:val="0"/>
      <w:marBottom w:val="0"/>
      <w:divBdr>
        <w:top w:val="none" w:sz="0" w:space="0" w:color="auto"/>
        <w:left w:val="none" w:sz="0" w:space="0" w:color="auto"/>
        <w:bottom w:val="none" w:sz="0" w:space="0" w:color="auto"/>
        <w:right w:val="none" w:sz="0" w:space="0" w:color="auto"/>
      </w:divBdr>
    </w:div>
    <w:div w:id="994726006">
      <w:bodyDiv w:val="1"/>
      <w:marLeft w:val="0"/>
      <w:marRight w:val="0"/>
      <w:marTop w:val="0"/>
      <w:marBottom w:val="0"/>
      <w:divBdr>
        <w:top w:val="none" w:sz="0" w:space="0" w:color="auto"/>
        <w:left w:val="none" w:sz="0" w:space="0" w:color="auto"/>
        <w:bottom w:val="none" w:sz="0" w:space="0" w:color="auto"/>
        <w:right w:val="none" w:sz="0" w:space="0" w:color="auto"/>
      </w:divBdr>
    </w:div>
    <w:div w:id="997539256">
      <w:bodyDiv w:val="1"/>
      <w:marLeft w:val="0"/>
      <w:marRight w:val="0"/>
      <w:marTop w:val="0"/>
      <w:marBottom w:val="0"/>
      <w:divBdr>
        <w:top w:val="none" w:sz="0" w:space="0" w:color="auto"/>
        <w:left w:val="none" w:sz="0" w:space="0" w:color="auto"/>
        <w:bottom w:val="none" w:sz="0" w:space="0" w:color="auto"/>
        <w:right w:val="none" w:sz="0" w:space="0" w:color="auto"/>
      </w:divBdr>
    </w:div>
    <w:div w:id="1008099703">
      <w:bodyDiv w:val="1"/>
      <w:marLeft w:val="0"/>
      <w:marRight w:val="0"/>
      <w:marTop w:val="0"/>
      <w:marBottom w:val="0"/>
      <w:divBdr>
        <w:top w:val="none" w:sz="0" w:space="0" w:color="auto"/>
        <w:left w:val="none" w:sz="0" w:space="0" w:color="auto"/>
        <w:bottom w:val="none" w:sz="0" w:space="0" w:color="auto"/>
        <w:right w:val="none" w:sz="0" w:space="0" w:color="auto"/>
      </w:divBdr>
    </w:div>
    <w:div w:id="1011643650">
      <w:bodyDiv w:val="1"/>
      <w:marLeft w:val="0"/>
      <w:marRight w:val="0"/>
      <w:marTop w:val="0"/>
      <w:marBottom w:val="0"/>
      <w:divBdr>
        <w:top w:val="none" w:sz="0" w:space="0" w:color="auto"/>
        <w:left w:val="none" w:sz="0" w:space="0" w:color="auto"/>
        <w:bottom w:val="none" w:sz="0" w:space="0" w:color="auto"/>
        <w:right w:val="none" w:sz="0" w:space="0" w:color="auto"/>
      </w:divBdr>
    </w:div>
    <w:div w:id="1014504125">
      <w:bodyDiv w:val="1"/>
      <w:marLeft w:val="0"/>
      <w:marRight w:val="0"/>
      <w:marTop w:val="0"/>
      <w:marBottom w:val="0"/>
      <w:divBdr>
        <w:top w:val="none" w:sz="0" w:space="0" w:color="auto"/>
        <w:left w:val="none" w:sz="0" w:space="0" w:color="auto"/>
        <w:bottom w:val="none" w:sz="0" w:space="0" w:color="auto"/>
        <w:right w:val="none" w:sz="0" w:space="0" w:color="auto"/>
      </w:divBdr>
    </w:div>
    <w:div w:id="1076128923">
      <w:bodyDiv w:val="1"/>
      <w:marLeft w:val="0"/>
      <w:marRight w:val="0"/>
      <w:marTop w:val="0"/>
      <w:marBottom w:val="0"/>
      <w:divBdr>
        <w:top w:val="none" w:sz="0" w:space="0" w:color="auto"/>
        <w:left w:val="none" w:sz="0" w:space="0" w:color="auto"/>
        <w:bottom w:val="none" w:sz="0" w:space="0" w:color="auto"/>
        <w:right w:val="none" w:sz="0" w:space="0" w:color="auto"/>
      </w:divBdr>
    </w:div>
    <w:div w:id="1086462377">
      <w:bodyDiv w:val="1"/>
      <w:marLeft w:val="0"/>
      <w:marRight w:val="0"/>
      <w:marTop w:val="0"/>
      <w:marBottom w:val="0"/>
      <w:divBdr>
        <w:top w:val="none" w:sz="0" w:space="0" w:color="auto"/>
        <w:left w:val="none" w:sz="0" w:space="0" w:color="auto"/>
        <w:bottom w:val="none" w:sz="0" w:space="0" w:color="auto"/>
        <w:right w:val="none" w:sz="0" w:space="0" w:color="auto"/>
      </w:divBdr>
    </w:div>
    <w:div w:id="1089692208">
      <w:bodyDiv w:val="1"/>
      <w:marLeft w:val="0"/>
      <w:marRight w:val="0"/>
      <w:marTop w:val="0"/>
      <w:marBottom w:val="0"/>
      <w:divBdr>
        <w:top w:val="none" w:sz="0" w:space="0" w:color="auto"/>
        <w:left w:val="none" w:sz="0" w:space="0" w:color="auto"/>
        <w:bottom w:val="none" w:sz="0" w:space="0" w:color="auto"/>
        <w:right w:val="none" w:sz="0" w:space="0" w:color="auto"/>
      </w:divBdr>
    </w:div>
    <w:div w:id="1095983007">
      <w:bodyDiv w:val="1"/>
      <w:marLeft w:val="0"/>
      <w:marRight w:val="0"/>
      <w:marTop w:val="0"/>
      <w:marBottom w:val="0"/>
      <w:divBdr>
        <w:top w:val="none" w:sz="0" w:space="0" w:color="auto"/>
        <w:left w:val="none" w:sz="0" w:space="0" w:color="auto"/>
        <w:bottom w:val="none" w:sz="0" w:space="0" w:color="auto"/>
        <w:right w:val="none" w:sz="0" w:space="0" w:color="auto"/>
      </w:divBdr>
    </w:div>
    <w:div w:id="1111557345">
      <w:bodyDiv w:val="1"/>
      <w:marLeft w:val="0"/>
      <w:marRight w:val="0"/>
      <w:marTop w:val="0"/>
      <w:marBottom w:val="0"/>
      <w:divBdr>
        <w:top w:val="none" w:sz="0" w:space="0" w:color="auto"/>
        <w:left w:val="none" w:sz="0" w:space="0" w:color="auto"/>
        <w:bottom w:val="none" w:sz="0" w:space="0" w:color="auto"/>
        <w:right w:val="none" w:sz="0" w:space="0" w:color="auto"/>
      </w:divBdr>
    </w:div>
    <w:div w:id="1113983670">
      <w:bodyDiv w:val="1"/>
      <w:marLeft w:val="0"/>
      <w:marRight w:val="0"/>
      <w:marTop w:val="0"/>
      <w:marBottom w:val="0"/>
      <w:divBdr>
        <w:top w:val="none" w:sz="0" w:space="0" w:color="auto"/>
        <w:left w:val="none" w:sz="0" w:space="0" w:color="auto"/>
        <w:bottom w:val="none" w:sz="0" w:space="0" w:color="auto"/>
        <w:right w:val="none" w:sz="0" w:space="0" w:color="auto"/>
      </w:divBdr>
    </w:div>
    <w:div w:id="1116217597">
      <w:bodyDiv w:val="1"/>
      <w:marLeft w:val="0"/>
      <w:marRight w:val="0"/>
      <w:marTop w:val="0"/>
      <w:marBottom w:val="0"/>
      <w:divBdr>
        <w:top w:val="none" w:sz="0" w:space="0" w:color="auto"/>
        <w:left w:val="none" w:sz="0" w:space="0" w:color="auto"/>
        <w:bottom w:val="none" w:sz="0" w:space="0" w:color="auto"/>
        <w:right w:val="none" w:sz="0" w:space="0" w:color="auto"/>
      </w:divBdr>
    </w:div>
    <w:div w:id="1127429022">
      <w:bodyDiv w:val="1"/>
      <w:marLeft w:val="0"/>
      <w:marRight w:val="0"/>
      <w:marTop w:val="0"/>
      <w:marBottom w:val="0"/>
      <w:divBdr>
        <w:top w:val="none" w:sz="0" w:space="0" w:color="auto"/>
        <w:left w:val="none" w:sz="0" w:space="0" w:color="auto"/>
        <w:bottom w:val="none" w:sz="0" w:space="0" w:color="auto"/>
        <w:right w:val="none" w:sz="0" w:space="0" w:color="auto"/>
      </w:divBdr>
    </w:div>
    <w:div w:id="1129980940">
      <w:bodyDiv w:val="1"/>
      <w:marLeft w:val="0"/>
      <w:marRight w:val="0"/>
      <w:marTop w:val="0"/>
      <w:marBottom w:val="0"/>
      <w:divBdr>
        <w:top w:val="none" w:sz="0" w:space="0" w:color="auto"/>
        <w:left w:val="none" w:sz="0" w:space="0" w:color="auto"/>
        <w:bottom w:val="none" w:sz="0" w:space="0" w:color="auto"/>
        <w:right w:val="none" w:sz="0" w:space="0" w:color="auto"/>
      </w:divBdr>
    </w:div>
    <w:div w:id="1142892817">
      <w:bodyDiv w:val="1"/>
      <w:marLeft w:val="0"/>
      <w:marRight w:val="0"/>
      <w:marTop w:val="0"/>
      <w:marBottom w:val="0"/>
      <w:divBdr>
        <w:top w:val="none" w:sz="0" w:space="0" w:color="auto"/>
        <w:left w:val="none" w:sz="0" w:space="0" w:color="auto"/>
        <w:bottom w:val="none" w:sz="0" w:space="0" w:color="auto"/>
        <w:right w:val="none" w:sz="0" w:space="0" w:color="auto"/>
      </w:divBdr>
    </w:div>
    <w:div w:id="1156650629">
      <w:bodyDiv w:val="1"/>
      <w:marLeft w:val="0"/>
      <w:marRight w:val="0"/>
      <w:marTop w:val="0"/>
      <w:marBottom w:val="0"/>
      <w:divBdr>
        <w:top w:val="none" w:sz="0" w:space="0" w:color="auto"/>
        <w:left w:val="none" w:sz="0" w:space="0" w:color="auto"/>
        <w:bottom w:val="none" w:sz="0" w:space="0" w:color="auto"/>
        <w:right w:val="none" w:sz="0" w:space="0" w:color="auto"/>
      </w:divBdr>
    </w:div>
    <w:div w:id="1156918845">
      <w:bodyDiv w:val="1"/>
      <w:marLeft w:val="0"/>
      <w:marRight w:val="0"/>
      <w:marTop w:val="0"/>
      <w:marBottom w:val="0"/>
      <w:divBdr>
        <w:top w:val="none" w:sz="0" w:space="0" w:color="auto"/>
        <w:left w:val="none" w:sz="0" w:space="0" w:color="auto"/>
        <w:bottom w:val="none" w:sz="0" w:space="0" w:color="auto"/>
        <w:right w:val="none" w:sz="0" w:space="0" w:color="auto"/>
      </w:divBdr>
    </w:div>
    <w:div w:id="1179538233">
      <w:bodyDiv w:val="1"/>
      <w:marLeft w:val="0"/>
      <w:marRight w:val="0"/>
      <w:marTop w:val="0"/>
      <w:marBottom w:val="0"/>
      <w:divBdr>
        <w:top w:val="none" w:sz="0" w:space="0" w:color="auto"/>
        <w:left w:val="none" w:sz="0" w:space="0" w:color="auto"/>
        <w:bottom w:val="none" w:sz="0" w:space="0" w:color="auto"/>
        <w:right w:val="none" w:sz="0" w:space="0" w:color="auto"/>
      </w:divBdr>
    </w:div>
    <w:div w:id="1198851079">
      <w:bodyDiv w:val="1"/>
      <w:marLeft w:val="0"/>
      <w:marRight w:val="0"/>
      <w:marTop w:val="0"/>
      <w:marBottom w:val="0"/>
      <w:divBdr>
        <w:top w:val="none" w:sz="0" w:space="0" w:color="auto"/>
        <w:left w:val="none" w:sz="0" w:space="0" w:color="auto"/>
        <w:bottom w:val="none" w:sz="0" w:space="0" w:color="auto"/>
        <w:right w:val="none" w:sz="0" w:space="0" w:color="auto"/>
      </w:divBdr>
    </w:div>
    <w:div w:id="1201742627">
      <w:bodyDiv w:val="1"/>
      <w:marLeft w:val="0"/>
      <w:marRight w:val="0"/>
      <w:marTop w:val="0"/>
      <w:marBottom w:val="0"/>
      <w:divBdr>
        <w:top w:val="none" w:sz="0" w:space="0" w:color="auto"/>
        <w:left w:val="none" w:sz="0" w:space="0" w:color="auto"/>
        <w:bottom w:val="none" w:sz="0" w:space="0" w:color="auto"/>
        <w:right w:val="none" w:sz="0" w:space="0" w:color="auto"/>
      </w:divBdr>
    </w:div>
    <w:div w:id="1206873432">
      <w:bodyDiv w:val="1"/>
      <w:marLeft w:val="0"/>
      <w:marRight w:val="0"/>
      <w:marTop w:val="0"/>
      <w:marBottom w:val="0"/>
      <w:divBdr>
        <w:top w:val="none" w:sz="0" w:space="0" w:color="auto"/>
        <w:left w:val="none" w:sz="0" w:space="0" w:color="auto"/>
        <w:bottom w:val="none" w:sz="0" w:space="0" w:color="auto"/>
        <w:right w:val="none" w:sz="0" w:space="0" w:color="auto"/>
      </w:divBdr>
    </w:div>
    <w:div w:id="1221667894">
      <w:bodyDiv w:val="1"/>
      <w:marLeft w:val="0"/>
      <w:marRight w:val="0"/>
      <w:marTop w:val="0"/>
      <w:marBottom w:val="0"/>
      <w:divBdr>
        <w:top w:val="none" w:sz="0" w:space="0" w:color="auto"/>
        <w:left w:val="none" w:sz="0" w:space="0" w:color="auto"/>
        <w:bottom w:val="none" w:sz="0" w:space="0" w:color="auto"/>
        <w:right w:val="none" w:sz="0" w:space="0" w:color="auto"/>
      </w:divBdr>
    </w:div>
    <w:div w:id="1230069623">
      <w:bodyDiv w:val="1"/>
      <w:marLeft w:val="0"/>
      <w:marRight w:val="0"/>
      <w:marTop w:val="0"/>
      <w:marBottom w:val="0"/>
      <w:divBdr>
        <w:top w:val="none" w:sz="0" w:space="0" w:color="auto"/>
        <w:left w:val="none" w:sz="0" w:space="0" w:color="auto"/>
        <w:bottom w:val="none" w:sz="0" w:space="0" w:color="auto"/>
        <w:right w:val="none" w:sz="0" w:space="0" w:color="auto"/>
      </w:divBdr>
    </w:div>
    <w:div w:id="1233200329">
      <w:bodyDiv w:val="1"/>
      <w:marLeft w:val="0"/>
      <w:marRight w:val="0"/>
      <w:marTop w:val="0"/>
      <w:marBottom w:val="0"/>
      <w:divBdr>
        <w:top w:val="none" w:sz="0" w:space="0" w:color="auto"/>
        <w:left w:val="none" w:sz="0" w:space="0" w:color="auto"/>
        <w:bottom w:val="none" w:sz="0" w:space="0" w:color="auto"/>
        <w:right w:val="none" w:sz="0" w:space="0" w:color="auto"/>
      </w:divBdr>
    </w:div>
    <w:div w:id="1258904374">
      <w:bodyDiv w:val="1"/>
      <w:marLeft w:val="0"/>
      <w:marRight w:val="0"/>
      <w:marTop w:val="0"/>
      <w:marBottom w:val="0"/>
      <w:divBdr>
        <w:top w:val="none" w:sz="0" w:space="0" w:color="auto"/>
        <w:left w:val="none" w:sz="0" w:space="0" w:color="auto"/>
        <w:bottom w:val="none" w:sz="0" w:space="0" w:color="auto"/>
        <w:right w:val="none" w:sz="0" w:space="0" w:color="auto"/>
      </w:divBdr>
    </w:div>
    <w:div w:id="1267077552">
      <w:bodyDiv w:val="1"/>
      <w:marLeft w:val="0"/>
      <w:marRight w:val="0"/>
      <w:marTop w:val="0"/>
      <w:marBottom w:val="0"/>
      <w:divBdr>
        <w:top w:val="none" w:sz="0" w:space="0" w:color="auto"/>
        <w:left w:val="none" w:sz="0" w:space="0" w:color="auto"/>
        <w:bottom w:val="none" w:sz="0" w:space="0" w:color="auto"/>
        <w:right w:val="none" w:sz="0" w:space="0" w:color="auto"/>
      </w:divBdr>
    </w:div>
    <w:div w:id="1277523629">
      <w:bodyDiv w:val="1"/>
      <w:marLeft w:val="0"/>
      <w:marRight w:val="0"/>
      <w:marTop w:val="0"/>
      <w:marBottom w:val="0"/>
      <w:divBdr>
        <w:top w:val="none" w:sz="0" w:space="0" w:color="auto"/>
        <w:left w:val="none" w:sz="0" w:space="0" w:color="auto"/>
        <w:bottom w:val="none" w:sz="0" w:space="0" w:color="auto"/>
        <w:right w:val="none" w:sz="0" w:space="0" w:color="auto"/>
      </w:divBdr>
    </w:div>
    <w:div w:id="1283923371">
      <w:bodyDiv w:val="1"/>
      <w:marLeft w:val="0"/>
      <w:marRight w:val="0"/>
      <w:marTop w:val="0"/>
      <w:marBottom w:val="0"/>
      <w:divBdr>
        <w:top w:val="none" w:sz="0" w:space="0" w:color="auto"/>
        <w:left w:val="none" w:sz="0" w:space="0" w:color="auto"/>
        <w:bottom w:val="none" w:sz="0" w:space="0" w:color="auto"/>
        <w:right w:val="none" w:sz="0" w:space="0" w:color="auto"/>
      </w:divBdr>
    </w:div>
    <w:div w:id="1291856928">
      <w:bodyDiv w:val="1"/>
      <w:marLeft w:val="0"/>
      <w:marRight w:val="0"/>
      <w:marTop w:val="0"/>
      <w:marBottom w:val="0"/>
      <w:divBdr>
        <w:top w:val="none" w:sz="0" w:space="0" w:color="auto"/>
        <w:left w:val="none" w:sz="0" w:space="0" w:color="auto"/>
        <w:bottom w:val="none" w:sz="0" w:space="0" w:color="auto"/>
        <w:right w:val="none" w:sz="0" w:space="0" w:color="auto"/>
      </w:divBdr>
    </w:div>
    <w:div w:id="1306088446">
      <w:bodyDiv w:val="1"/>
      <w:marLeft w:val="0"/>
      <w:marRight w:val="0"/>
      <w:marTop w:val="0"/>
      <w:marBottom w:val="0"/>
      <w:divBdr>
        <w:top w:val="none" w:sz="0" w:space="0" w:color="auto"/>
        <w:left w:val="none" w:sz="0" w:space="0" w:color="auto"/>
        <w:bottom w:val="none" w:sz="0" w:space="0" w:color="auto"/>
        <w:right w:val="none" w:sz="0" w:space="0" w:color="auto"/>
      </w:divBdr>
    </w:div>
    <w:div w:id="1314917496">
      <w:bodyDiv w:val="1"/>
      <w:marLeft w:val="0"/>
      <w:marRight w:val="0"/>
      <w:marTop w:val="0"/>
      <w:marBottom w:val="0"/>
      <w:divBdr>
        <w:top w:val="none" w:sz="0" w:space="0" w:color="auto"/>
        <w:left w:val="none" w:sz="0" w:space="0" w:color="auto"/>
        <w:bottom w:val="none" w:sz="0" w:space="0" w:color="auto"/>
        <w:right w:val="none" w:sz="0" w:space="0" w:color="auto"/>
      </w:divBdr>
    </w:div>
    <w:div w:id="1321695793">
      <w:bodyDiv w:val="1"/>
      <w:marLeft w:val="0"/>
      <w:marRight w:val="0"/>
      <w:marTop w:val="0"/>
      <w:marBottom w:val="0"/>
      <w:divBdr>
        <w:top w:val="none" w:sz="0" w:space="0" w:color="auto"/>
        <w:left w:val="none" w:sz="0" w:space="0" w:color="auto"/>
        <w:bottom w:val="none" w:sz="0" w:space="0" w:color="auto"/>
        <w:right w:val="none" w:sz="0" w:space="0" w:color="auto"/>
      </w:divBdr>
    </w:div>
    <w:div w:id="1322075875">
      <w:bodyDiv w:val="1"/>
      <w:marLeft w:val="0"/>
      <w:marRight w:val="0"/>
      <w:marTop w:val="0"/>
      <w:marBottom w:val="0"/>
      <w:divBdr>
        <w:top w:val="none" w:sz="0" w:space="0" w:color="auto"/>
        <w:left w:val="none" w:sz="0" w:space="0" w:color="auto"/>
        <w:bottom w:val="none" w:sz="0" w:space="0" w:color="auto"/>
        <w:right w:val="none" w:sz="0" w:space="0" w:color="auto"/>
      </w:divBdr>
    </w:div>
    <w:div w:id="1329139172">
      <w:bodyDiv w:val="1"/>
      <w:marLeft w:val="0"/>
      <w:marRight w:val="0"/>
      <w:marTop w:val="0"/>
      <w:marBottom w:val="0"/>
      <w:divBdr>
        <w:top w:val="none" w:sz="0" w:space="0" w:color="auto"/>
        <w:left w:val="none" w:sz="0" w:space="0" w:color="auto"/>
        <w:bottom w:val="none" w:sz="0" w:space="0" w:color="auto"/>
        <w:right w:val="none" w:sz="0" w:space="0" w:color="auto"/>
      </w:divBdr>
    </w:div>
    <w:div w:id="1333220951">
      <w:bodyDiv w:val="1"/>
      <w:marLeft w:val="0"/>
      <w:marRight w:val="0"/>
      <w:marTop w:val="0"/>
      <w:marBottom w:val="0"/>
      <w:divBdr>
        <w:top w:val="none" w:sz="0" w:space="0" w:color="auto"/>
        <w:left w:val="none" w:sz="0" w:space="0" w:color="auto"/>
        <w:bottom w:val="none" w:sz="0" w:space="0" w:color="auto"/>
        <w:right w:val="none" w:sz="0" w:space="0" w:color="auto"/>
      </w:divBdr>
    </w:div>
    <w:div w:id="1333491629">
      <w:bodyDiv w:val="1"/>
      <w:marLeft w:val="0"/>
      <w:marRight w:val="0"/>
      <w:marTop w:val="0"/>
      <w:marBottom w:val="0"/>
      <w:divBdr>
        <w:top w:val="none" w:sz="0" w:space="0" w:color="auto"/>
        <w:left w:val="none" w:sz="0" w:space="0" w:color="auto"/>
        <w:bottom w:val="none" w:sz="0" w:space="0" w:color="auto"/>
        <w:right w:val="none" w:sz="0" w:space="0" w:color="auto"/>
      </w:divBdr>
    </w:div>
    <w:div w:id="1356466180">
      <w:bodyDiv w:val="1"/>
      <w:marLeft w:val="0"/>
      <w:marRight w:val="0"/>
      <w:marTop w:val="0"/>
      <w:marBottom w:val="0"/>
      <w:divBdr>
        <w:top w:val="none" w:sz="0" w:space="0" w:color="auto"/>
        <w:left w:val="none" w:sz="0" w:space="0" w:color="auto"/>
        <w:bottom w:val="none" w:sz="0" w:space="0" w:color="auto"/>
        <w:right w:val="none" w:sz="0" w:space="0" w:color="auto"/>
      </w:divBdr>
    </w:div>
    <w:div w:id="1358237087">
      <w:bodyDiv w:val="1"/>
      <w:marLeft w:val="0"/>
      <w:marRight w:val="0"/>
      <w:marTop w:val="0"/>
      <w:marBottom w:val="0"/>
      <w:divBdr>
        <w:top w:val="none" w:sz="0" w:space="0" w:color="auto"/>
        <w:left w:val="none" w:sz="0" w:space="0" w:color="auto"/>
        <w:bottom w:val="none" w:sz="0" w:space="0" w:color="auto"/>
        <w:right w:val="none" w:sz="0" w:space="0" w:color="auto"/>
      </w:divBdr>
    </w:div>
    <w:div w:id="1370182647">
      <w:bodyDiv w:val="1"/>
      <w:marLeft w:val="0"/>
      <w:marRight w:val="0"/>
      <w:marTop w:val="0"/>
      <w:marBottom w:val="0"/>
      <w:divBdr>
        <w:top w:val="none" w:sz="0" w:space="0" w:color="auto"/>
        <w:left w:val="none" w:sz="0" w:space="0" w:color="auto"/>
        <w:bottom w:val="none" w:sz="0" w:space="0" w:color="auto"/>
        <w:right w:val="none" w:sz="0" w:space="0" w:color="auto"/>
      </w:divBdr>
    </w:div>
    <w:div w:id="1370374912">
      <w:bodyDiv w:val="1"/>
      <w:marLeft w:val="0"/>
      <w:marRight w:val="0"/>
      <w:marTop w:val="0"/>
      <w:marBottom w:val="0"/>
      <w:divBdr>
        <w:top w:val="none" w:sz="0" w:space="0" w:color="auto"/>
        <w:left w:val="none" w:sz="0" w:space="0" w:color="auto"/>
        <w:bottom w:val="none" w:sz="0" w:space="0" w:color="auto"/>
        <w:right w:val="none" w:sz="0" w:space="0" w:color="auto"/>
      </w:divBdr>
    </w:div>
    <w:div w:id="1372421458">
      <w:bodyDiv w:val="1"/>
      <w:marLeft w:val="0"/>
      <w:marRight w:val="0"/>
      <w:marTop w:val="0"/>
      <w:marBottom w:val="0"/>
      <w:divBdr>
        <w:top w:val="none" w:sz="0" w:space="0" w:color="auto"/>
        <w:left w:val="none" w:sz="0" w:space="0" w:color="auto"/>
        <w:bottom w:val="none" w:sz="0" w:space="0" w:color="auto"/>
        <w:right w:val="none" w:sz="0" w:space="0" w:color="auto"/>
      </w:divBdr>
    </w:div>
    <w:div w:id="1373843775">
      <w:bodyDiv w:val="1"/>
      <w:marLeft w:val="0"/>
      <w:marRight w:val="0"/>
      <w:marTop w:val="0"/>
      <w:marBottom w:val="0"/>
      <w:divBdr>
        <w:top w:val="none" w:sz="0" w:space="0" w:color="auto"/>
        <w:left w:val="none" w:sz="0" w:space="0" w:color="auto"/>
        <w:bottom w:val="none" w:sz="0" w:space="0" w:color="auto"/>
        <w:right w:val="none" w:sz="0" w:space="0" w:color="auto"/>
      </w:divBdr>
      <w:divsChild>
        <w:div w:id="1925989736">
          <w:marLeft w:val="547"/>
          <w:marRight w:val="0"/>
          <w:marTop w:val="134"/>
          <w:marBottom w:val="120"/>
          <w:divBdr>
            <w:top w:val="none" w:sz="0" w:space="0" w:color="auto"/>
            <w:left w:val="none" w:sz="0" w:space="0" w:color="auto"/>
            <w:bottom w:val="none" w:sz="0" w:space="0" w:color="auto"/>
            <w:right w:val="none" w:sz="0" w:space="0" w:color="auto"/>
          </w:divBdr>
        </w:div>
      </w:divsChild>
    </w:div>
    <w:div w:id="1402023447">
      <w:bodyDiv w:val="1"/>
      <w:marLeft w:val="0"/>
      <w:marRight w:val="0"/>
      <w:marTop w:val="0"/>
      <w:marBottom w:val="0"/>
      <w:divBdr>
        <w:top w:val="none" w:sz="0" w:space="0" w:color="auto"/>
        <w:left w:val="none" w:sz="0" w:space="0" w:color="auto"/>
        <w:bottom w:val="none" w:sz="0" w:space="0" w:color="auto"/>
        <w:right w:val="none" w:sz="0" w:space="0" w:color="auto"/>
      </w:divBdr>
    </w:div>
    <w:div w:id="1405685865">
      <w:bodyDiv w:val="1"/>
      <w:marLeft w:val="0"/>
      <w:marRight w:val="0"/>
      <w:marTop w:val="0"/>
      <w:marBottom w:val="0"/>
      <w:divBdr>
        <w:top w:val="none" w:sz="0" w:space="0" w:color="auto"/>
        <w:left w:val="none" w:sz="0" w:space="0" w:color="auto"/>
        <w:bottom w:val="none" w:sz="0" w:space="0" w:color="auto"/>
        <w:right w:val="none" w:sz="0" w:space="0" w:color="auto"/>
      </w:divBdr>
    </w:div>
    <w:div w:id="1411582170">
      <w:bodyDiv w:val="1"/>
      <w:marLeft w:val="0"/>
      <w:marRight w:val="0"/>
      <w:marTop w:val="0"/>
      <w:marBottom w:val="0"/>
      <w:divBdr>
        <w:top w:val="none" w:sz="0" w:space="0" w:color="auto"/>
        <w:left w:val="none" w:sz="0" w:space="0" w:color="auto"/>
        <w:bottom w:val="none" w:sz="0" w:space="0" w:color="auto"/>
        <w:right w:val="none" w:sz="0" w:space="0" w:color="auto"/>
      </w:divBdr>
    </w:div>
    <w:div w:id="1426536784">
      <w:bodyDiv w:val="1"/>
      <w:marLeft w:val="0"/>
      <w:marRight w:val="0"/>
      <w:marTop w:val="0"/>
      <w:marBottom w:val="0"/>
      <w:divBdr>
        <w:top w:val="none" w:sz="0" w:space="0" w:color="auto"/>
        <w:left w:val="none" w:sz="0" w:space="0" w:color="auto"/>
        <w:bottom w:val="none" w:sz="0" w:space="0" w:color="auto"/>
        <w:right w:val="none" w:sz="0" w:space="0" w:color="auto"/>
      </w:divBdr>
    </w:div>
    <w:div w:id="1426729463">
      <w:bodyDiv w:val="1"/>
      <w:marLeft w:val="0"/>
      <w:marRight w:val="0"/>
      <w:marTop w:val="0"/>
      <w:marBottom w:val="0"/>
      <w:divBdr>
        <w:top w:val="none" w:sz="0" w:space="0" w:color="auto"/>
        <w:left w:val="none" w:sz="0" w:space="0" w:color="auto"/>
        <w:bottom w:val="none" w:sz="0" w:space="0" w:color="auto"/>
        <w:right w:val="none" w:sz="0" w:space="0" w:color="auto"/>
      </w:divBdr>
    </w:div>
    <w:div w:id="1438257992">
      <w:bodyDiv w:val="1"/>
      <w:marLeft w:val="0"/>
      <w:marRight w:val="0"/>
      <w:marTop w:val="0"/>
      <w:marBottom w:val="0"/>
      <w:divBdr>
        <w:top w:val="none" w:sz="0" w:space="0" w:color="auto"/>
        <w:left w:val="none" w:sz="0" w:space="0" w:color="auto"/>
        <w:bottom w:val="none" w:sz="0" w:space="0" w:color="auto"/>
        <w:right w:val="none" w:sz="0" w:space="0" w:color="auto"/>
      </w:divBdr>
    </w:div>
    <w:div w:id="1438407987">
      <w:bodyDiv w:val="1"/>
      <w:marLeft w:val="0"/>
      <w:marRight w:val="0"/>
      <w:marTop w:val="0"/>
      <w:marBottom w:val="0"/>
      <w:divBdr>
        <w:top w:val="none" w:sz="0" w:space="0" w:color="auto"/>
        <w:left w:val="none" w:sz="0" w:space="0" w:color="auto"/>
        <w:bottom w:val="none" w:sz="0" w:space="0" w:color="auto"/>
        <w:right w:val="none" w:sz="0" w:space="0" w:color="auto"/>
      </w:divBdr>
    </w:div>
    <w:div w:id="1439988060">
      <w:bodyDiv w:val="1"/>
      <w:marLeft w:val="0"/>
      <w:marRight w:val="0"/>
      <w:marTop w:val="0"/>
      <w:marBottom w:val="0"/>
      <w:divBdr>
        <w:top w:val="none" w:sz="0" w:space="0" w:color="auto"/>
        <w:left w:val="none" w:sz="0" w:space="0" w:color="auto"/>
        <w:bottom w:val="none" w:sz="0" w:space="0" w:color="auto"/>
        <w:right w:val="none" w:sz="0" w:space="0" w:color="auto"/>
      </w:divBdr>
    </w:div>
    <w:div w:id="1442724758">
      <w:bodyDiv w:val="1"/>
      <w:marLeft w:val="0"/>
      <w:marRight w:val="0"/>
      <w:marTop w:val="0"/>
      <w:marBottom w:val="0"/>
      <w:divBdr>
        <w:top w:val="none" w:sz="0" w:space="0" w:color="auto"/>
        <w:left w:val="none" w:sz="0" w:space="0" w:color="auto"/>
        <w:bottom w:val="none" w:sz="0" w:space="0" w:color="auto"/>
        <w:right w:val="none" w:sz="0" w:space="0" w:color="auto"/>
      </w:divBdr>
    </w:div>
    <w:div w:id="1443650745">
      <w:bodyDiv w:val="1"/>
      <w:marLeft w:val="0"/>
      <w:marRight w:val="0"/>
      <w:marTop w:val="0"/>
      <w:marBottom w:val="0"/>
      <w:divBdr>
        <w:top w:val="none" w:sz="0" w:space="0" w:color="auto"/>
        <w:left w:val="none" w:sz="0" w:space="0" w:color="auto"/>
        <w:bottom w:val="none" w:sz="0" w:space="0" w:color="auto"/>
        <w:right w:val="none" w:sz="0" w:space="0" w:color="auto"/>
      </w:divBdr>
    </w:div>
    <w:div w:id="1453743852">
      <w:bodyDiv w:val="1"/>
      <w:marLeft w:val="0"/>
      <w:marRight w:val="0"/>
      <w:marTop w:val="0"/>
      <w:marBottom w:val="0"/>
      <w:divBdr>
        <w:top w:val="none" w:sz="0" w:space="0" w:color="auto"/>
        <w:left w:val="none" w:sz="0" w:space="0" w:color="auto"/>
        <w:bottom w:val="none" w:sz="0" w:space="0" w:color="auto"/>
        <w:right w:val="none" w:sz="0" w:space="0" w:color="auto"/>
      </w:divBdr>
    </w:div>
    <w:div w:id="1464425760">
      <w:bodyDiv w:val="1"/>
      <w:marLeft w:val="0"/>
      <w:marRight w:val="0"/>
      <w:marTop w:val="0"/>
      <w:marBottom w:val="0"/>
      <w:divBdr>
        <w:top w:val="none" w:sz="0" w:space="0" w:color="auto"/>
        <w:left w:val="none" w:sz="0" w:space="0" w:color="auto"/>
        <w:bottom w:val="none" w:sz="0" w:space="0" w:color="auto"/>
        <w:right w:val="none" w:sz="0" w:space="0" w:color="auto"/>
      </w:divBdr>
    </w:div>
    <w:div w:id="1477257912">
      <w:bodyDiv w:val="1"/>
      <w:marLeft w:val="0"/>
      <w:marRight w:val="0"/>
      <w:marTop w:val="0"/>
      <w:marBottom w:val="0"/>
      <w:divBdr>
        <w:top w:val="none" w:sz="0" w:space="0" w:color="auto"/>
        <w:left w:val="none" w:sz="0" w:space="0" w:color="auto"/>
        <w:bottom w:val="none" w:sz="0" w:space="0" w:color="auto"/>
        <w:right w:val="none" w:sz="0" w:space="0" w:color="auto"/>
      </w:divBdr>
    </w:div>
    <w:div w:id="1477920028">
      <w:bodyDiv w:val="1"/>
      <w:marLeft w:val="0"/>
      <w:marRight w:val="0"/>
      <w:marTop w:val="0"/>
      <w:marBottom w:val="0"/>
      <w:divBdr>
        <w:top w:val="none" w:sz="0" w:space="0" w:color="auto"/>
        <w:left w:val="none" w:sz="0" w:space="0" w:color="auto"/>
        <w:bottom w:val="none" w:sz="0" w:space="0" w:color="auto"/>
        <w:right w:val="none" w:sz="0" w:space="0" w:color="auto"/>
      </w:divBdr>
    </w:div>
    <w:div w:id="1491292157">
      <w:bodyDiv w:val="1"/>
      <w:marLeft w:val="0"/>
      <w:marRight w:val="0"/>
      <w:marTop w:val="0"/>
      <w:marBottom w:val="0"/>
      <w:divBdr>
        <w:top w:val="none" w:sz="0" w:space="0" w:color="auto"/>
        <w:left w:val="none" w:sz="0" w:space="0" w:color="auto"/>
        <w:bottom w:val="none" w:sz="0" w:space="0" w:color="auto"/>
        <w:right w:val="none" w:sz="0" w:space="0" w:color="auto"/>
      </w:divBdr>
    </w:div>
    <w:div w:id="1491677943">
      <w:bodyDiv w:val="1"/>
      <w:marLeft w:val="0"/>
      <w:marRight w:val="0"/>
      <w:marTop w:val="0"/>
      <w:marBottom w:val="0"/>
      <w:divBdr>
        <w:top w:val="none" w:sz="0" w:space="0" w:color="auto"/>
        <w:left w:val="none" w:sz="0" w:space="0" w:color="auto"/>
        <w:bottom w:val="none" w:sz="0" w:space="0" w:color="auto"/>
        <w:right w:val="none" w:sz="0" w:space="0" w:color="auto"/>
      </w:divBdr>
    </w:div>
    <w:div w:id="1497724220">
      <w:bodyDiv w:val="1"/>
      <w:marLeft w:val="0"/>
      <w:marRight w:val="0"/>
      <w:marTop w:val="0"/>
      <w:marBottom w:val="0"/>
      <w:divBdr>
        <w:top w:val="none" w:sz="0" w:space="0" w:color="auto"/>
        <w:left w:val="none" w:sz="0" w:space="0" w:color="auto"/>
        <w:bottom w:val="none" w:sz="0" w:space="0" w:color="auto"/>
        <w:right w:val="none" w:sz="0" w:space="0" w:color="auto"/>
      </w:divBdr>
    </w:div>
    <w:div w:id="1519006432">
      <w:bodyDiv w:val="1"/>
      <w:marLeft w:val="0"/>
      <w:marRight w:val="0"/>
      <w:marTop w:val="0"/>
      <w:marBottom w:val="0"/>
      <w:divBdr>
        <w:top w:val="none" w:sz="0" w:space="0" w:color="auto"/>
        <w:left w:val="none" w:sz="0" w:space="0" w:color="auto"/>
        <w:bottom w:val="none" w:sz="0" w:space="0" w:color="auto"/>
        <w:right w:val="none" w:sz="0" w:space="0" w:color="auto"/>
      </w:divBdr>
    </w:div>
    <w:div w:id="1521818910">
      <w:bodyDiv w:val="1"/>
      <w:marLeft w:val="0"/>
      <w:marRight w:val="0"/>
      <w:marTop w:val="0"/>
      <w:marBottom w:val="0"/>
      <w:divBdr>
        <w:top w:val="none" w:sz="0" w:space="0" w:color="auto"/>
        <w:left w:val="none" w:sz="0" w:space="0" w:color="auto"/>
        <w:bottom w:val="none" w:sz="0" w:space="0" w:color="auto"/>
        <w:right w:val="none" w:sz="0" w:space="0" w:color="auto"/>
      </w:divBdr>
    </w:div>
    <w:div w:id="1524901318">
      <w:bodyDiv w:val="1"/>
      <w:marLeft w:val="0"/>
      <w:marRight w:val="0"/>
      <w:marTop w:val="0"/>
      <w:marBottom w:val="0"/>
      <w:divBdr>
        <w:top w:val="none" w:sz="0" w:space="0" w:color="auto"/>
        <w:left w:val="none" w:sz="0" w:space="0" w:color="auto"/>
        <w:bottom w:val="none" w:sz="0" w:space="0" w:color="auto"/>
        <w:right w:val="none" w:sz="0" w:space="0" w:color="auto"/>
      </w:divBdr>
    </w:div>
    <w:div w:id="1535925306">
      <w:bodyDiv w:val="1"/>
      <w:marLeft w:val="0"/>
      <w:marRight w:val="0"/>
      <w:marTop w:val="0"/>
      <w:marBottom w:val="0"/>
      <w:divBdr>
        <w:top w:val="none" w:sz="0" w:space="0" w:color="auto"/>
        <w:left w:val="none" w:sz="0" w:space="0" w:color="auto"/>
        <w:bottom w:val="none" w:sz="0" w:space="0" w:color="auto"/>
        <w:right w:val="none" w:sz="0" w:space="0" w:color="auto"/>
      </w:divBdr>
    </w:div>
    <w:div w:id="1550413182">
      <w:bodyDiv w:val="1"/>
      <w:marLeft w:val="0"/>
      <w:marRight w:val="0"/>
      <w:marTop w:val="0"/>
      <w:marBottom w:val="0"/>
      <w:divBdr>
        <w:top w:val="none" w:sz="0" w:space="0" w:color="auto"/>
        <w:left w:val="none" w:sz="0" w:space="0" w:color="auto"/>
        <w:bottom w:val="none" w:sz="0" w:space="0" w:color="auto"/>
        <w:right w:val="none" w:sz="0" w:space="0" w:color="auto"/>
      </w:divBdr>
    </w:div>
    <w:div w:id="1554922131">
      <w:bodyDiv w:val="1"/>
      <w:marLeft w:val="0"/>
      <w:marRight w:val="0"/>
      <w:marTop w:val="0"/>
      <w:marBottom w:val="0"/>
      <w:divBdr>
        <w:top w:val="none" w:sz="0" w:space="0" w:color="auto"/>
        <w:left w:val="none" w:sz="0" w:space="0" w:color="auto"/>
        <w:bottom w:val="none" w:sz="0" w:space="0" w:color="auto"/>
        <w:right w:val="none" w:sz="0" w:space="0" w:color="auto"/>
      </w:divBdr>
    </w:div>
    <w:div w:id="1563324556">
      <w:bodyDiv w:val="1"/>
      <w:marLeft w:val="0"/>
      <w:marRight w:val="0"/>
      <w:marTop w:val="0"/>
      <w:marBottom w:val="0"/>
      <w:divBdr>
        <w:top w:val="none" w:sz="0" w:space="0" w:color="auto"/>
        <w:left w:val="none" w:sz="0" w:space="0" w:color="auto"/>
        <w:bottom w:val="none" w:sz="0" w:space="0" w:color="auto"/>
        <w:right w:val="none" w:sz="0" w:space="0" w:color="auto"/>
      </w:divBdr>
    </w:div>
    <w:div w:id="1563448168">
      <w:bodyDiv w:val="1"/>
      <w:marLeft w:val="0"/>
      <w:marRight w:val="0"/>
      <w:marTop w:val="0"/>
      <w:marBottom w:val="0"/>
      <w:divBdr>
        <w:top w:val="none" w:sz="0" w:space="0" w:color="auto"/>
        <w:left w:val="none" w:sz="0" w:space="0" w:color="auto"/>
        <w:bottom w:val="none" w:sz="0" w:space="0" w:color="auto"/>
        <w:right w:val="none" w:sz="0" w:space="0" w:color="auto"/>
      </w:divBdr>
    </w:div>
    <w:div w:id="1575317483">
      <w:bodyDiv w:val="1"/>
      <w:marLeft w:val="0"/>
      <w:marRight w:val="0"/>
      <w:marTop w:val="0"/>
      <w:marBottom w:val="0"/>
      <w:divBdr>
        <w:top w:val="none" w:sz="0" w:space="0" w:color="auto"/>
        <w:left w:val="none" w:sz="0" w:space="0" w:color="auto"/>
        <w:bottom w:val="none" w:sz="0" w:space="0" w:color="auto"/>
        <w:right w:val="none" w:sz="0" w:space="0" w:color="auto"/>
      </w:divBdr>
    </w:div>
    <w:div w:id="1578586826">
      <w:bodyDiv w:val="1"/>
      <w:marLeft w:val="0"/>
      <w:marRight w:val="0"/>
      <w:marTop w:val="0"/>
      <w:marBottom w:val="0"/>
      <w:divBdr>
        <w:top w:val="none" w:sz="0" w:space="0" w:color="auto"/>
        <w:left w:val="none" w:sz="0" w:space="0" w:color="auto"/>
        <w:bottom w:val="none" w:sz="0" w:space="0" w:color="auto"/>
        <w:right w:val="none" w:sz="0" w:space="0" w:color="auto"/>
      </w:divBdr>
    </w:div>
    <w:div w:id="1591935394">
      <w:bodyDiv w:val="1"/>
      <w:marLeft w:val="0"/>
      <w:marRight w:val="0"/>
      <w:marTop w:val="0"/>
      <w:marBottom w:val="0"/>
      <w:divBdr>
        <w:top w:val="none" w:sz="0" w:space="0" w:color="auto"/>
        <w:left w:val="none" w:sz="0" w:space="0" w:color="auto"/>
        <w:bottom w:val="none" w:sz="0" w:space="0" w:color="auto"/>
        <w:right w:val="none" w:sz="0" w:space="0" w:color="auto"/>
      </w:divBdr>
    </w:div>
    <w:div w:id="1597323265">
      <w:bodyDiv w:val="1"/>
      <w:marLeft w:val="0"/>
      <w:marRight w:val="0"/>
      <w:marTop w:val="0"/>
      <w:marBottom w:val="0"/>
      <w:divBdr>
        <w:top w:val="none" w:sz="0" w:space="0" w:color="auto"/>
        <w:left w:val="none" w:sz="0" w:space="0" w:color="auto"/>
        <w:bottom w:val="none" w:sz="0" w:space="0" w:color="auto"/>
        <w:right w:val="none" w:sz="0" w:space="0" w:color="auto"/>
      </w:divBdr>
    </w:div>
    <w:div w:id="1619142983">
      <w:bodyDiv w:val="1"/>
      <w:marLeft w:val="0"/>
      <w:marRight w:val="0"/>
      <w:marTop w:val="0"/>
      <w:marBottom w:val="0"/>
      <w:divBdr>
        <w:top w:val="none" w:sz="0" w:space="0" w:color="auto"/>
        <w:left w:val="none" w:sz="0" w:space="0" w:color="auto"/>
        <w:bottom w:val="none" w:sz="0" w:space="0" w:color="auto"/>
        <w:right w:val="none" w:sz="0" w:space="0" w:color="auto"/>
      </w:divBdr>
    </w:div>
    <w:div w:id="1636331542">
      <w:bodyDiv w:val="1"/>
      <w:marLeft w:val="0"/>
      <w:marRight w:val="0"/>
      <w:marTop w:val="0"/>
      <w:marBottom w:val="0"/>
      <w:divBdr>
        <w:top w:val="none" w:sz="0" w:space="0" w:color="auto"/>
        <w:left w:val="none" w:sz="0" w:space="0" w:color="auto"/>
        <w:bottom w:val="none" w:sz="0" w:space="0" w:color="auto"/>
        <w:right w:val="none" w:sz="0" w:space="0" w:color="auto"/>
      </w:divBdr>
    </w:div>
    <w:div w:id="1655797316">
      <w:bodyDiv w:val="1"/>
      <w:marLeft w:val="0"/>
      <w:marRight w:val="0"/>
      <w:marTop w:val="0"/>
      <w:marBottom w:val="0"/>
      <w:divBdr>
        <w:top w:val="none" w:sz="0" w:space="0" w:color="auto"/>
        <w:left w:val="none" w:sz="0" w:space="0" w:color="auto"/>
        <w:bottom w:val="none" w:sz="0" w:space="0" w:color="auto"/>
        <w:right w:val="none" w:sz="0" w:space="0" w:color="auto"/>
      </w:divBdr>
    </w:div>
    <w:div w:id="1675953462">
      <w:bodyDiv w:val="1"/>
      <w:marLeft w:val="0"/>
      <w:marRight w:val="0"/>
      <w:marTop w:val="0"/>
      <w:marBottom w:val="0"/>
      <w:divBdr>
        <w:top w:val="none" w:sz="0" w:space="0" w:color="auto"/>
        <w:left w:val="none" w:sz="0" w:space="0" w:color="auto"/>
        <w:bottom w:val="none" w:sz="0" w:space="0" w:color="auto"/>
        <w:right w:val="none" w:sz="0" w:space="0" w:color="auto"/>
      </w:divBdr>
    </w:div>
    <w:div w:id="1679506079">
      <w:bodyDiv w:val="1"/>
      <w:marLeft w:val="0"/>
      <w:marRight w:val="0"/>
      <w:marTop w:val="0"/>
      <w:marBottom w:val="0"/>
      <w:divBdr>
        <w:top w:val="none" w:sz="0" w:space="0" w:color="auto"/>
        <w:left w:val="none" w:sz="0" w:space="0" w:color="auto"/>
        <w:bottom w:val="none" w:sz="0" w:space="0" w:color="auto"/>
        <w:right w:val="none" w:sz="0" w:space="0" w:color="auto"/>
      </w:divBdr>
    </w:div>
    <w:div w:id="1682392379">
      <w:bodyDiv w:val="1"/>
      <w:marLeft w:val="0"/>
      <w:marRight w:val="0"/>
      <w:marTop w:val="0"/>
      <w:marBottom w:val="0"/>
      <w:divBdr>
        <w:top w:val="none" w:sz="0" w:space="0" w:color="auto"/>
        <w:left w:val="none" w:sz="0" w:space="0" w:color="auto"/>
        <w:bottom w:val="none" w:sz="0" w:space="0" w:color="auto"/>
        <w:right w:val="none" w:sz="0" w:space="0" w:color="auto"/>
      </w:divBdr>
    </w:div>
    <w:div w:id="1687097149">
      <w:bodyDiv w:val="1"/>
      <w:marLeft w:val="0"/>
      <w:marRight w:val="0"/>
      <w:marTop w:val="0"/>
      <w:marBottom w:val="0"/>
      <w:divBdr>
        <w:top w:val="none" w:sz="0" w:space="0" w:color="auto"/>
        <w:left w:val="none" w:sz="0" w:space="0" w:color="auto"/>
        <w:bottom w:val="none" w:sz="0" w:space="0" w:color="auto"/>
        <w:right w:val="none" w:sz="0" w:space="0" w:color="auto"/>
      </w:divBdr>
    </w:div>
    <w:div w:id="1691762375">
      <w:bodyDiv w:val="1"/>
      <w:marLeft w:val="0"/>
      <w:marRight w:val="0"/>
      <w:marTop w:val="0"/>
      <w:marBottom w:val="0"/>
      <w:divBdr>
        <w:top w:val="none" w:sz="0" w:space="0" w:color="auto"/>
        <w:left w:val="none" w:sz="0" w:space="0" w:color="auto"/>
        <w:bottom w:val="none" w:sz="0" w:space="0" w:color="auto"/>
        <w:right w:val="none" w:sz="0" w:space="0" w:color="auto"/>
      </w:divBdr>
    </w:div>
    <w:div w:id="1714381577">
      <w:bodyDiv w:val="1"/>
      <w:marLeft w:val="0"/>
      <w:marRight w:val="0"/>
      <w:marTop w:val="0"/>
      <w:marBottom w:val="0"/>
      <w:divBdr>
        <w:top w:val="none" w:sz="0" w:space="0" w:color="auto"/>
        <w:left w:val="none" w:sz="0" w:space="0" w:color="auto"/>
        <w:bottom w:val="none" w:sz="0" w:space="0" w:color="auto"/>
        <w:right w:val="none" w:sz="0" w:space="0" w:color="auto"/>
      </w:divBdr>
    </w:div>
    <w:div w:id="1721828053">
      <w:bodyDiv w:val="1"/>
      <w:marLeft w:val="0"/>
      <w:marRight w:val="0"/>
      <w:marTop w:val="0"/>
      <w:marBottom w:val="0"/>
      <w:divBdr>
        <w:top w:val="none" w:sz="0" w:space="0" w:color="auto"/>
        <w:left w:val="none" w:sz="0" w:space="0" w:color="auto"/>
        <w:bottom w:val="none" w:sz="0" w:space="0" w:color="auto"/>
        <w:right w:val="none" w:sz="0" w:space="0" w:color="auto"/>
      </w:divBdr>
    </w:div>
    <w:div w:id="1722942816">
      <w:bodyDiv w:val="1"/>
      <w:marLeft w:val="0"/>
      <w:marRight w:val="0"/>
      <w:marTop w:val="0"/>
      <w:marBottom w:val="0"/>
      <w:divBdr>
        <w:top w:val="none" w:sz="0" w:space="0" w:color="auto"/>
        <w:left w:val="none" w:sz="0" w:space="0" w:color="auto"/>
        <w:bottom w:val="none" w:sz="0" w:space="0" w:color="auto"/>
        <w:right w:val="none" w:sz="0" w:space="0" w:color="auto"/>
      </w:divBdr>
    </w:div>
    <w:div w:id="1725056443">
      <w:bodyDiv w:val="1"/>
      <w:marLeft w:val="0"/>
      <w:marRight w:val="0"/>
      <w:marTop w:val="0"/>
      <w:marBottom w:val="0"/>
      <w:divBdr>
        <w:top w:val="none" w:sz="0" w:space="0" w:color="auto"/>
        <w:left w:val="none" w:sz="0" w:space="0" w:color="auto"/>
        <w:bottom w:val="none" w:sz="0" w:space="0" w:color="auto"/>
        <w:right w:val="none" w:sz="0" w:space="0" w:color="auto"/>
      </w:divBdr>
    </w:div>
    <w:div w:id="1736470306">
      <w:bodyDiv w:val="1"/>
      <w:marLeft w:val="0"/>
      <w:marRight w:val="0"/>
      <w:marTop w:val="0"/>
      <w:marBottom w:val="0"/>
      <w:divBdr>
        <w:top w:val="none" w:sz="0" w:space="0" w:color="auto"/>
        <w:left w:val="none" w:sz="0" w:space="0" w:color="auto"/>
        <w:bottom w:val="none" w:sz="0" w:space="0" w:color="auto"/>
        <w:right w:val="none" w:sz="0" w:space="0" w:color="auto"/>
      </w:divBdr>
    </w:div>
    <w:div w:id="1745298046">
      <w:bodyDiv w:val="1"/>
      <w:marLeft w:val="0"/>
      <w:marRight w:val="0"/>
      <w:marTop w:val="0"/>
      <w:marBottom w:val="0"/>
      <w:divBdr>
        <w:top w:val="none" w:sz="0" w:space="0" w:color="auto"/>
        <w:left w:val="none" w:sz="0" w:space="0" w:color="auto"/>
        <w:bottom w:val="none" w:sz="0" w:space="0" w:color="auto"/>
        <w:right w:val="none" w:sz="0" w:space="0" w:color="auto"/>
      </w:divBdr>
    </w:div>
    <w:div w:id="1751001152">
      <w:bodyDiv w:val="1"/>
      <w:marLeft w:val="0"/>
      <w:marRight w:val="0"/>
      <w:marTop w:val="0"/>
      <w:marBottom w:val="0"/>
      <w:divBdr>
        <w:top w:val="none" w:sz="0" w:space="0" w:color="auto"/>
        <w:left w:val="none" w:sz="0" w:space="0" w:color="auto"/>
        <w:bottom w:val="none" w:sz="0" w:space="0" w:color="auto"/>
        <w:right w:val="none" w:sz="0" w:space="0" w:color="auto"/>
      </w:divBdr>
    </w:div>
    <w:div w:id="1753892076">
      <w:bodyDiv w:val="1"/>
      <w:marLeft w:val="0"/>
      <w:marRight w:val="0"/>
      <w:marTop w:val="0"/>
      <w:marBottom w:val="0"/>
      <w:divBdr>
        <w:top w:val="none" w:sz="0" w:space="0" w:color="auto"/>
        <w:left w:val="none" w:sz="0" w:space="0" w:color="auto"/>
        <w:bottom w:val="none" w:sz="0" w:space="0" w:color="auto"/>
        <w:right w:val="none" w:sz="0" w:space="0" w:color="auto"/>
      </w:divBdr>
    </w:div>
    <w:div w:id="1754859339">
      <w:bodyDiv w:val="1"/>
      <w:marLeft w:val="0"/>
      <w:marRight w:val="0"/>
      <w:marTop w:val="0"/>
      <w:marBottom w:val="0"/>
      <w:divBdr>
        <w:top w:val="none" w:sz="0" w:space="0" w:color="auto"/>
        <w:left w:val="none" w:sz="0" w:space="0" w:color="auto"/>
        <w:bottom w:val="none" w:sz="0" w:space="0" w:color="auto"/>
        <w:right w:val="none" w:sz="0" w:space="0" w:color="auto"/>
      </w:divBdr>
    </w:div>
    <w:div w:id="1768385726">
      <w:bodyDiv w:val="1"/>
      <w:marLeft w:val="0"/>
      <w:marRight w:val="0"/>
      <w:marTop w:val="0"/>
      <w:marBottom w:val="0"/>
      <w:divBdr>
        <w:top w:val="none" w:sz="0" w:space="0" w:color="auto"/>
        <w:left w:val="none" w:sz="0" w:space="0" w:color="auto"/>
        <w:bottom w:val="none" w:sz="0" w:space="0" w:color="auto"/>
        <w:right w:val="none" w:sz="0" w:space="0" w:color="auto"/>
      </w:divBdr>
    </w:div>
    <w:div w:id="1777024344">
      <w:bodyDiv w:val="1"/>
      <w:marLeft w:val="0"/>
      <w:marRight w:val="0"/>
      <w:marTop w:val="0"/>
      <w:marBottom w:val="0"/>
      <w:divBdr>
        <w:top w:val="none" w:sz="0" w:space="0" w:color="auto"/>
        <w:left w:val="none" w:sz="0" w:space="0" w:color="auto"/>
        <w:bottom w:val="none" w:sz="0" w:space="0" w:color="auto"/>
        <w:right w:val="none" w:sz="0" w:space="0" w:color="auto"/>
      </w:divBdr>
    </w:div>
    <w:div w:id="1782604642">
      <w:bodyDiv w:val="1"/>
      <w:marLeft w:val="0"/>
      <w:marRight w:val="0"/>
      <w:marTop w:val="0"/>
      <w:marBottom w:val="0"/>
      <w:divBdr>
        <w:top w:val="none" w:sz="0" w:space="0" w:color="auto"/>
        <w:left w:val="none" w:sz="0" w:space="0" w:color="auto"/>
        <w:bottom w:val="none" w:sz="0" w:space="0" w:color="auto"/>
        <w:right w:val="none" w:sz="0" w:space="0" w:color="auto"/>
      </w:divBdr>
    </w:div>
    <w:div w:id="1786580415">
      <w:bodyDiv w:val="1"/>
      <w:marLeft w:val="0"/>
      <w:marRight w:val="0"/>
      <w:marTop w:val="0"/>
      <w:marBottom w:val="0"/>
      <w:divBdr>
        <w:top w:val="none" w:sz="0" w:space="0" w:color="auto"/>
        <w:left w:val="none" w:sz="0" w:space="0" w:color="auto"/>
        <w:bottom w:val="none" w:sz="0" w:space="0" w:color="auto"/>
        <w:right w:val="none" w:sz="0" w:space="0" w:color="auto"/>
      </w:divBdr>
    </w:div>
    <w:div w:id="1793286692">
      <w:bodyDiv w:val="1"/>
      <w:marLeft w:val="0"/>
      <w:marRight w:val="0"/>
      <w:marTop w:val="0"/>
      <w:marBottom w:val="0"/>
      <w:divBdr>
        <w:top w:val="none" w:sz="0" w:space="0" w:color="auto"/>
        <w:left w:val="none" w:sz="0" w:space="0" w:color="auto"/>
        <w:bottom w:val="none" w:sz="0" w:space="0" w:color="auto"/>
        <w:right w:val="none" w:sz="0" w:space="0" w:color="auto"/>
      </w:divBdr>
    </w:div>
    <w:div w:id="1795514333">
      <w:bodyDiv w:val="1"/>
      <w:marLeft w:val="0"/>
      <w:marRight w:val="0"/>
      <w:marTop w:val="0"/>
      <w:marBottom w:val="0"/>
      <w:divBdr>
        <w:top w:val="none" w:sz="0" w:space="0" w:color="auto"/>
        <w:left w:val="none" w:sz="0" w:space="0" w:color="auto"/>
        <w:bottom w:val="none" w:sz="0" w:space="0" w:color="auto"/>
        <w:right w:val="none" w:sz="0" w:space="0" w:color="auto"/>
      </w:divBdr>
    </w:div>
    <w:div w:id="1801262889">
      <w:bodyDiv w:val="1"/>
      <w:marLeft w:val="0"/>
      <w:marRight w:val="0"/>
      <w:marTop w:val="0"/>
      <w:marBottom w:val="0"/>
      <w:divBdr>
        <w:top w:val="none" w:sz="0" w:space="0" w:color="auto"/>
        <w:left w:val="none" w:sz="0" w:space="0" w:color="auto"/>
        <w:bottom w:val="none" w:sz="0" w:space="0" w:color="auto"/>
        <w:right w:val="none" w:sz="0" w:space="0" w:color="auto"/>
      </w:divBdr>
    </w:div>
    <w:div w:id="1801534217">
      <w:bodyDiv w:val="1"/>
      <w:marLeft w:val="0"/>
      <w:marRight w:val="0"/>
      <w:marTop w:val="0"/>
      <w:marBottom w:val="0"/>
      <w:divBdr>
        <w:top w:val="none" w:sz="0" w:space="0" w:color="auto"/>
        <w:left w:val="none" w:sz="0" w:space="0" w:color="auto"/>
        <w:bottom w:val="none" w:sz="0" w:space="0" w:color="auto"/>
        <w:right w:val="none" w:sz="0" w:space="0" w:color="auto"/>
      </w:divBdr>
    </w:div>
    <w:div w:id="1801920184">
      <w:bodyDiv w:val="1"/>
      <w:marLeft w:val="0"/>
      <w:marRight w:val="0"/>
      <w:marTop w:val="0"/>
      <w:marBottom w:val="0"/>
      <w:divBdr>
        <w:top w:val="none" w:sz="0" w:space="0" w:color="auto"/>
        <w:left w:val="none" w:sz="0" w:space="0" w:color="auto"/>
        <w:bottom w:val="none" w:sz="0" w:space="0" w:color="auto"/>
        <w:right w:val="none" w:sz="0" w:space="0" w:color="auto"/>
      </w:divBdr>
    </w:div>
    <w:div w:id="1814591291">
      <w:bodyDiv w:val="1"/>
      <w:marLeft w:val="0"/>
      <w:marRight w:val="0"/>
      <w:marTop w:val="0"/>
      <w:marBottom w:val="0"/>
      <w:divBdr>
        <w:top w:val="none" w:sz="0" w:space="0" w:color="auto"/>
        <w:left w:val="none" w:sz="0" w:space="0" w:color="auto"/>
        <w:bottom w:val="none" w:sz="0" w:space="0" w:color="auto"/>
        <w:right w:val="none" w:sz="0" w:space="0" w:color="auto"/>
      </w:divBdr>
    </w:div>
    <w:div w:id="1822698653">
      <w:bodyDiv w:val="1"/>
      <w:marLeft w:val="0"/>
      <w:marRight w:val="0"/>
      <w:marTop w:val="0"/>
      <w:marBottom w:val="0"/>
      <w:divBdr>
        <w:top w:val="none" w:sz="0" w:space="0" w:color="auto"/>
        <w:left w:val="none" w:sz="0" w:space="0" w:color="auto"/>
        <w:bottom w:val="none" w:sz="0" w:space="0" w:color="auto"/>
        <w:right w:val="none" w:sz="0" w:space="0" w:color="auto"/>
      </w:divBdr>
    </w:div>
    <w:div w:id="1864199595">
      <w:bodyDiv w:val="1"/>
      <w:marLeft w:val="0"/>
      <w:marRight w:val="0"/>
      <w:marTop w:val="0"/>
      <w:marBottom w:val="0"/>
      <w:divBdr>
        <w:top w:val="none" w:sz="0" w:space="0" w:color="auto"/>
        <w:left w:val="none" w:sz="0" w:space="0" w:color="auto"/>
        <w:bottom w:val="none" w:sz="0" w:space="0" w:color="auto"/>
        <w:right w:val="none" w:sz="0" w:space="0" w:color="auto"/>
      </w:divBdr>
    </w:div>
    <w:div w:id="1873377753">
      <w:bodyDiv w:val="1"/>
      <w:marLeft w:val="0"/>
      <w:marRight w:val="0"/>
      <w:marTop w:val="0"/>
      <w:marBottom w:val="0"/>
      <w:divBdr>
        <w:top w:val="none" w:sz="0" w:space="0" w:color="auto"/>
        <w:left w:val="none" w:sz="0" w:space="0" w:color="auto"/>
        <w:bottom w:val="none" w:sz="0" w:space="0" w:color="auto"/>
        <w:right w:val="none" w:sz="0" w:space="0" w:color="auto"/>
      </w:divBdr>
    </w:div>
    <w:div w:id="1889603392">
      <w:bodyDiv w:val="1"/>
      <w:marLeft w:val="0"/>
      <w:marRight w:val="0"/>
      <w:marTop w:val="0"/>
      <w:marBottom w:val="0"/>
      <w:divBdr>
        <w:top w:val="none" w:sz="0" w:space="0" w:color="auto"/>
        <w:left w:val="none" w:sz="0" w:space="0" w:color="auto"/>
        <w:bottom w:val="none" w:sz="0" w:space="0" w:color="auto"/>
        <w:right w:val="none" w:sz="0" w:space="0" w:color="auto"/>
      </w:divBdr>
    </w:div>
    <w:div w:id="1903907658">
      <w:bodyDiv w:val="1"/>
      <w:marLeft w:val="0"/>
      <w:marRight w:val="0"/>
      <w:marTop w:val="0"/>
      <w:marBottom w:val="0"/>
      <w:divBdr>
        <w:top w:val="none" w:sz="0" w:space="0" w:color="auto"/>
        <w:left w:val="none" w:sz="0" w:space="0" w:color="auto"/>
        <w:bottom w:val="none" w:sz="0" w:space="0" w:color="auto"/>
        <w:right w:val="none" w:sz="0" w:space="0" w:color="auto"/>
      </w:divBdr>
    </w:div>
    <w:div w:id="1918318744">
      <w:bodyDiv w:val="1"/>
      <w:marLeft w:val="0"/>
      <w:marRight w:val="0"/>
      <w:marTop w:val="0"/>
      <w:marBottom w:val="0"/>
      <w:divBdr>
        <w:top w:val="none" w:sz="0" w:space="0" w:color="auto"/>
        <w:left w:val="none" w:sz="0" w:space="0" w:color="auto"/>
        <w:bottom w:val="none" w:sz="0" w:space="0" w:color="auto"/>
        <w:right w:val="none" w:sz="0" w:space="0" w:color="auto"/>
      </w:divBdr>
    </w:div>
    <w:div w:id="1934047377">
      <w:bodyDiv w:val="1"/>
      <w:marLeft w:val="0"/>
      <w:marRight w:val="0"/>
      <w:marTop w:val="0"/>
      <w:marBottom w:val="0"/>
      <w:divBdr>
        <w:top w:val="none" w:sz="0" w:space="0" w:color="auto"/>
        <w:left w:val="none" w:sz="0" w:space="0" w:color="auto"/>
        <w:bottom w:val="none" w:sz="0" w:space="0" w:color="auto"/>
        <w:right w:val="none" w:sz="0" w:space="0" w:color="auto"/>
      </w:divBdr>
    </w:div>
    <w:div w:id="1943100520">
      <w:bodyDiv w:val="1"/>
      <w:marLeft w:val="0"/>
      <w:marRight w:val="0"/>
      <w:marTop w:val="0"/>
      <w:marBottom w:val="0"/>
      <w:divBdr>
        <w:top w:val="none" w:sz="0" w:space="0" w:color="auto"/>
        <w:left w:val="none" w:sz="0" w:space="0" w:color="auto"/>
        <w:bottom w:val="none" w:sz="0" w:space="0" w:color="auto"/>
        <w:right w:val="none" w:sz="0" w:space="0" w:color="auto"/>
      </w:divBdr>
    </w:div>
    <w:div w:id="1946229187">
      <w:bodyDiv w:val="1"/>
      <w:marLeft w:val="0"/>
      <w:marRight w:val="0"/>
      <w:marTop w:val="0"/>
      <w:marBottom w:val="0"/>
      <w:divBdr>
        <w:top w:val="none" w:sz="0" w:space="0" w:color="auto"/>
        <w:left w:val="none" w:sz="0" w:space="0" w:color="auto"/>
        <w:bottom w:val="none" w:sz="0" w:space="0" w:color="auto"/>
        <w:right w:val="none" w:sz="0" w:space="0" w:color="auto"/>
      </w:divBdr>
    </w:div>
    <w:div w:id="1967545109">
      <w:bodyDiv w:val="1"/>
      <w:marLeft w:val="0"/>
      <w:marRight w:val="0"/>
      <w:marTop w:val="0"/>
      <w:marBottom w:val="0"/>
      <w:divBdr>
        <w:top w:val="none" w:sz="0" w:space="0" w:color="auto"/>
        <w:left w:val="none" w:sz="0" w:space="0" w:color="auto"/>
        <w:bottom w:val="none" w:sz="0" w:space="0" w:color="auto"/>
        <w:right w:val="none" w:sz="0" w:space="0" w:color="auto"/>
      </w:divBdr>
    </w:div>
    <w:div w:id="1979727488">
      <w:bodyDiv w:val="1"/>
      <w:marLeft w:val="0"/>
      <w:marRight w:val="0"/>
      <w:marTop w:val="0"/>
      <w:marBottom w:val="0"/>
      <w:divBdr>
        <w:top w:val="none" w:sz="0" w:space="0" w:color="auto"/>
        <w:left w:val="none" w:sz="0" w:space="0" w:color="auto"/>
        <w:bottom w:val="none" w:sz="0" w:space="0" w:color="auto"/>
        <w:right w:val="none" w:sz="0" w:space="0" w:color="auto"/>
      </w:divBdr>
    </w:div>
    <w:div w:id="1980645276">
      <w:bodyDiv w:val="1"/>
      <w:marLeft w:val="0"/>
      <w:marRight w:val="0"/>
      <w:marTop w:val="0"/>
      <w:marBottom w:val="0"/>
      <w:divBdr>
        <w:top w:val="none" w:sz="0" w:space="0" w:color="auto"/>
        <w:left w:val="none" w:sz="0" w:space="0" w:color="auto"/>
        <w:bottom w:val="none" w:sz="0" w:space="0" w:color="auto"/>
        <w:right w:val="none" w:sz="0" w:space="0" w:color="auto"/>
      </w:divBdr>
    </w:div>
    <w:div w:id="1999991039">
      <w:bodyDiv w:val="1"/>
      <w:marLeft w:val="0"/>
      <w:marRight w:val="0"/>
      <w:marTop w:val="0"/>
      <w:marBottom w:val="0"/>
      <w:divBdr>
        <w:top w:val="none" w:sz="0" w:space="0" w:color="auto"/>
        <w:left w:val="none" w:sz="0" w:space="0" w:color="auto"/>
        <w:bottom w:val="none" w:sz="0" w:space="0" w:color="auto"/>
        <w:right w:val="none" w:sz="0" w:space="0" w:color="auto"/>
      </w:divBdr>
    </w:div>
    <w:div w:id="2002584524">
      <w:bodyDiv w:val="1"/>
      <w:marLeft w:val="0"/>
      <w:marRight w:val="0"/>
      <w:marTop w:val="0"/>
      <w:marBottom w:val="0"/>
      <w:divBdr>
        <w:top w:val="none" w:sz="0" w:space="0" w:color="auto"/>
        <w:left w:val="none" w:sz="0" w:space="0" w:color="auto"/>
        <w:bottom w:val="none" w:sz="0" w:space="0" w:color="auto"/>
        <w:right w:val="none" w:sz="0" w:space="0" w:color="auto"/>
      </w:divBdr>
    </w:div>
    <w:div w:id="2003510694">
      <w:bodyDiv w:val="1"/>
      <w:marLeft w:val="0"/>
      <w:marRight w:val="0"/>
      <w:marTop w:val="0"/>
      <w:marBottom w:val="0"/>
      <w:divBdr>
        <w:top w:val="none" w:sz="0" w:space="0" w:color="auto"/>
        <w:left w:val="none" w:sz="0" w:space="0" w:color="auto"/>
        <w:bottom w:val="none" w:sz="0" w:space="0" w:color="auto"/>
        <w:right w:val="none" w:sz="0" w:space="0" w:color="auto"/>
      </w:divBdr>
    </w:div>
    <w:div w:id="2003585838">
      <w:bodyDiv w:val="1"/>
      <w:marLeft w:val="0"/>
      <w:marRight w:val="0"/>
      <w:marTop w:val="0"/>
      <w:marBottom w:val="0"/>
      <w:divBdr>
        <w:top w:val="none" w:sz="0" w:space="0" w:color="auto"/>
        <w:left w:val="none" w:sz="0" w:space="0" w:color="auto"/>
        <w:bottom w:val="none" w:sz="0" w:space="0" w:color="auto"/>
        <w:right w:val="none" w:sz="0" w:space="0" w:color="auto"/>
      </w:divBdr>
    </w:div>
    <w:div w:id="2010712979">
      <w:bodyDiv w:val="1"/>
      <w:marLeft w:val="0"/>
      <w:marRight w:val="0"/>
      <w:marTop w:val="0"/>
      <w:marBottom w:val="0"/>
      <w:divBdr>
        <w:top w:val="none" w:sz="0" w:space="0" w:color="auto"/>
        <w:left w:val="none" w:sz="0" w:space="0" w:color="auto"/>
        <w:bottom w:val="none" w:sz="0" w:space="0" w:color="auto"/>
        <w:right w:val="none" w:sz="0" w:space="0" w:color="auto"/>
      </w:divBdr>
    </w:div>
    <w:div w:id="2011634918">
      <w:bodyDiv w:val="1"/>
      <w:marLeft w:val="0"/>
      <w:marRight w:val="0"/>
      <w:marTop w:val="0"/>
      <w:marBottom w:val="0"/>
      <w:divBdr>
        <w:top w:val="none" w:sz="0" w:space="0" w:color="auto"/>
        <w:left w:val="none" w:sz="0" w:space="0" w:color="auto"/>
        <w:bottom w:val="none" w:sz="0" w:space="0" w:color="auto"/>
        <w:right w:val="none" w:sz="0" w:space="0" w:color="auto"/>
      </w:divBdr>
    </w:div>
    <w:div w:id="2025746297">
      <w:bodyDiv w:val="1"/>
      <w:marLeft w:val="0"/>
      <w:marRight w:val="0"/>
      <w:marTop w:val="0"/>
      <w:marBottom w:val="0"/>
      <w:divBdr>
        <w:top w:val="none" w:sz="0" w:space="0" w:color="auto"/>
        <w:left w:val="none" w:sz="0" w:space="0" w:color="auto"/>
        <w:bottom w:val="none" w:sz="0" w:space="0" w:color="auto"/>
        <w:right w:val="none" w:sz="0" w:space="0" w:color="auto"/>
      </w:divBdr>
    </w:div>
    <w:div w:id="2030325491">
      <w:bodyDiv w:val="1"/>
      <w:marLeft w:val="0"/>
      <w:marRight w:val="0"/>
      <w:marTop w:val="0"/>
      <w:marBottom w:val="0"/>
      <w:divBdr>
        <w:top w:val="none" w:sz="0" w:space="0" w:color="auto"/>
        <w:left w:val="none" w:sz="0" w:space="0" w:color="auto"/>
        <w:bottom w:val="none" w:sz="0" w:space="0" w:color="auto"/>
        <w:right w:val="none" w:sz="0" w:space="0" w:color="auto"/>
      </w:divBdr>
    </w:div>
    <w:div w:id="2040738301">
      <w:bodyDiv w:val="1"/>
      <w:marLeft w:val="0"/>
      <w:marRight w:val="0"/>
      <w:marTop w:val="0"/>
      <w:marBottom w:val="0"/>
      <w:divBdr>
        <w:top w:val="none" w:sz="0" w:space="0" w:color="auto"/>
        <w:left w:val="none" w:sz="0" w:space="0" w:color="auto"/>
        <w:bottom w:val="none" w:sz="0" w:space="0" w:color="auto"/>
        <w:right w:val="none" w:sz="0" w:space="0" w:color="auto"/>
      </w:divBdr>
    </w:div>
    <w:div w:id="2051881555">
      <w:bodyDiv w:val="1"/>
      <w:marLeft w:val="0"/>
      <w:marRight w:val="0"/>
      <w:marTop w:val="0"/>
      <w:marBottom w:val="0"/>
      <w:divBdr>
        <w:top w:val="none" w:sz="0" w:space="0" w:color="auto"/>
        <w:left w:val="none" w:sz="0" w:space="0" w:color="auto"/>
        <w:bottom w:val="none" w:sz="0" w:space="0" w:color="auto"/>
        <w:right w:val="none" w:sz="0" w:space="0" w:color="auto"/>
      </w:divBdr>
    </w:div>
    <w:div w:id="2062168926">
      <w:bodyDiv w:val="1"/>
      <w:marLeft w:val="0"/>
      <w:marRight w:val="0"/>
      <w:marTop w:val="0"/>
      <w:marBottom w:val="0"/>
      <w:divBdr>
        <w:top w:val="none" w:sz="0" w:space="0" w:color="auto"/>
        <w:left w:val="none" w:sz="0" w:space="0" w:color="auto"/>
        <w:bottom w:val="none" w:sz="0" w:space="0" w:color="auto"/>
        <w:right w:val="none" w:sz="0" w:space="0" w:color="auto"/>
      </w:divBdr>
    </w:div>
    <w:div w:id="2083335069">
      <w:bodyDiv w:val="1"/>
      <w:marLeft w:val="0"/>
      <w:marRight w:val="0"/>
      <w:marTop w:val="0"/>
      <w:marBottom w:val="0"/>
      <w:divBdr>
        <w:top w:val="none" w:sz="0" w:space="0" w:color="auto"/>
        <w:left w:val="none" w:sz="0" w:space="0" w:color="auto"/>
        <w:bottom w:val="none" w:sz="0" w:space="0" w:color="auto"/>
        <w:right w:val="none" w:sz="0" w:space="0" w:color="auto"/>
      </w:divBdr>
    </w:div>
    <w:div w:id="2085761644">
      <w:bodyDiv w:val="1"/>
      <w:marLeft w:val="0"/>
      <w:marRight w:val="0"/>
      <w:marTop w:val="0"/>
      <w:marBottom w:val="0"/>
      <w:divBdr>
        <w:top w:val="none" w:sz="0" w:space="0" w:color="auto"/>
        <w:left w:val="none" w:sz="0" w:space="0" w:color="auto"/>
        <w:bottom w:val="none" w:sz="0" w:space="0" w:color="auto"/>
        <w:right w:val="none" w:sz="0" w:space="0" w:color="auto"/>
      </w:divBdr>
    </w:div>
    <w:div w:id="2093041806">
      <w:bodyDiv w:val="1"/>
      <w:marLeft w:val="0"/>
      <w:marRight w:val="0"/>
      <w:marTop w:val="0"/>
      <w:marBottom w:val="0"/>
      <w:divBdr>
        <w:top w:val="none" w:sz="0" w:space="0" w:color="auto"/>
        <w:left w:val="none" w:sz="0" w:space="0" w:color="auto"/>
        <w:bottom w:val="none" w:sz="0" w:space="0" w:color="auto"/>
        <w:right w:val="none" w:sz="0" w:space="0" w:color="auto"/>
      </w:divBdr>
    </w:div>
    <w:div w:id="2123835710">
      <w:bodyDiv w:val="1"/>
      <w:marLeft w:val="0"/>
      <w:marRight w:val="0"/>
      <w:marTop w:val="0"/>
      <w:marBottom w:val="0"/>
      <w:divBdr>
        <w:top w:val="none" w:sz="0" w:space="0" w:color="auto"/>
        <w:left w:val="none" w:sz="0" w:space="0" w:color="auto"/>
        <w:bottom w:val="none" w:sz="0" w:space="0" w:color="auto"/>
        <w:right w:val="none" w:sz="0" w:space="0" w:color="auto"/>
      </w:divBdr>
      <w:divsChild>
        <w:div w:id="396128107">
          <w:marLeft w:val="547"/>
          <w:marRight w:val="0"/>
          <w:marTop w:val="120"/>
          <w:marBottom w:val="240"/>
          <w:divBdr>
            <w:top w:val="none" w:sz="0" w:space="0" w:color="auto"/>
            <w:left w:val="none" w:sz="0" w:space="0" w:color="auto"/>
            <w:bottom w:val="none" w:sz="0" w:space="0" w:color="auto"/>
            <w:right w:val="none" w:sz="0" w:space="0" w:color="auto"/>
          </w:divBdr>
        </w:div>
      </w:divsChild>
    </w:div>
    <w:div w:id="2125731851">
      <w:bodyDiv w:val="1"/>
      <w:marLeft w:val="0"/>
      <w:marRight w:val="0"/>
      <w:marTop w:val="0"/>
      <w:marBottom w:val="0"/>
      <w:divBdr>
        <w:top w:val="none" w:sz="0" w:space="0" w:color="auto"/>
        <w:left w:val="none" w:sz="0" w:space="0" w:color="auto"/>
        <w:bottom w:val="none" w:sz="0" w:space="0" w:color="auto"/>
        <w:right w:val="none" w:sz="0" w:space="0" w:color="auto"/>
      </w:divBdr>
    </w:div>
    <w:div w:id="214481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www.cockburn.wa.gov.au/getattachment/9d6378f1-3168-496a-bc91-f8b36be76cd4/ECM_7899154_v2_City-of-Cockburn-Cycling-and-Walking-Network-Plan-2016-2021-docx.aspx" TargetMode="External"/><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hyperlink" Target="http://www.lgam.info/start" TargetMode="External"/><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chart" Target="charts/chart6.xml"/><Relationship Id="rId37" Type="http://schemas.openxmlformats.org/officeDocument/2006/relationships/image" Target="cid:image010.jpg@01D67485.79715070" TargetMode="External"/><Relationship Id="rId40" Type="http://schemas.openxmlformats.org/officeDocument/2006/relationships/hyperlink" Target="http://www.ipwea.org.a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chart" Target="charts/chart3.xm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4.xml"/><Relationship Id="rId31" Type="http://schemas.openxmlformats.org/officeDocument/2006/relationships/chart" Target="charts/chart5.xml"/><Relationship Id="rId44" Type="http://schemas.openxmlformats.org/officeDocument/2006/relationships/hyperlink" Target="http://www.dvc.vic.gov.au/web20/dvclgv.nsf/allDocs/RWP1C79EC4A7225CD2FCA257170003259F6?OpenDocu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footer" Target="footer5.xml"/><Relationship Id="rId35" Type="http://schemas.openxmlformats.org/officeDocument/2006/relationships/chart" Target="charts/chart9.xml"/><Relationship Id="rId43" Type="http://schemas.openxmlformats.org/officeDocument/2006/relationships/hyperlink" Target="http://www.mainroads.wa.gov.au/Pages/Welcome.aspx"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chart" Target="charts/chart7.xml"/><Relationship Id="rId38" Type="http://schemas.openxmlformats.org/officeDocument/2006/relationships/hyperlink" Target="https://forecast.id.com.au/cockburn/population-age-structure" TargetMode="External"/><Relationship Id="rId46" Type="http://schemas.openxmlformats.org/officeDocument/2006/relationships/image" Target="media/image13.jpeg"/><Relationship Id="rId20" Type="http://schemas.openxmlformats.org/officeDocument/2006/relationships/image" Target="media/image6.png"/><Relationship Id="rId41" Type="http://schemas.openxmlformats.org/officeDocument/2006/relationships/hyperlink" Target="https://www.legislation.wa.gov.au/legislation/statutes.nsf/law_a465.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charts/_rels/chart1.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FAMP\T1%20Reports\FOOTPATH%20VALUATION%20TABLES%20AND%20FINANCIAL%20PROJECTIONS%20NM.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Projects\18-19\AMPs%20-%20DG&amp;%20JP\Footpaths%20JP\AMP%20Reports\Cutoff%20date%20Reports\Report_WAA%20FOOTPATH%20AGE%20AND%20CONDITION%20PROFILES14.0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FAMP\Footpath%20-%20Renewals.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Projects\18-19\AMPs%20-%20DG&amp;%20JP\Footpaths%20JP\AMP%20Reports\New%20Reports\FOOTPATH%20VALUATION%20TABLES%20AND%20FINANCIAL%20PROJECTION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ockburn.wa.gov.au\data\Shared\Engineering%20and%20Works\Infrastructure%20Services\Assets\Projects\18-19\AMPs%20-%20DG&amp;%20JP\Footpaths%20JP\AMP%20Reports\New%20Reports\FOOTPATH%20VALUATION%20TABLES%20AND%20FINANCIAL%20PROJECTION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ockburn.wa.gov.au\data\Shared\Engineering%20and%20Works\Infrastructure%20Services\Assets\Projects\18-19\AMPs%20-%20DG&amp;%20JP\Footpaths%20JP\AMP%20Reports\New%20Reports\FOOTPATH%20VALUATION%20TABLES%20AND%20FINANCIAL%20PROJECTION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bar3DChart>
        <c:barDir val="col"/>
        <c:grouping val="stacked"/>
        <c:varyColors val="0"/>
        <c:ser>
          <c:idx val="0"/>
          <c:order val="0"/>
          <c:tx>
            <c:v>Donated assets</c:v>
          </c:tx>
          <c:spPr>
            <a:gradFill rotWithShape="1">
              <a:gsLst>
                <a:gs pos="0">
                  <a:srgbClr val="4BACC6">
                    <a:lumMod val="50000"/>
                  </a:srgbClr>
                </a:gs>
                <a:gs pos="50000">
                  <a:srgbClr val="4BACC6">
                    <a:lumMod val="60000"/>
                    <a:lumOff val="40000"/>
                  </a:srgbClr>
                </a:gs>
                <a:gs pos="95000">
                  <a:srgbClr val="4BACC6">
                    <a:lumMod val="20000"/>
                    <a:lumOff val="80000"/>
                  </a:srgbClr>
                </a:gs>
              </a:gsLst>
              <a:lin ang="16200000" scaled="1"/>
              <a:tileRect/>
            </a:gradFill>
            <a:ln w="9525" cap="flat" cmpd="sng">
              <a:solidFill>
                <a:srgbClr val="215968"/>
              </a:solidFill>
            </a:ln>
          </c:spPr>
          <c:invertIfNegative val="0"/>
          <c:dPt>
            <c:idx val="0"/>
            <c:invertIfNegative val="0"/>
            <c:bubble3D val="0"/>
            <c:extLst>
              <c:ext xmlns:c16="http://schemas.microsoft.com/office/drawing/2014/chart" uri="{C3380CC4-5D6E-409C-BE32-E72D297353CC}">
                <c16:uniqueId val="{00000000-AD7D-467B-A50B-5C815623088D}"/>
              </c:ext>
            </c:extLst>
          </c:dPt>
          <c:dPt>
            <c:idx val="1"/>
            <c:invertIfNegative val="0"/>
            <c:bubble3D val="0"/>
            <c:extLst>
              <c:ext xmlns:c16="http://schemas.microsoft.com/office/drawing/2014/chart" uri="{C3380CC4-5D6E-409C-BE32-E72D297353CC}">
                <c16:uniqueId val="{00000001-AD7D-467B-A50B-5C815623088D}"/>
              </c:ext>
            </c:extLst>
          </c:dPt>
          <c:dPt>
            <c:idx val="2"/>
            <c:invertIfNegative val="0"/>
            <c:bubble3D val="0"/>
            <c:extLst>
              <c:ext xmlns:c16="http://schemas.microsoft.com/office/drawing/2014/chart" uri="{C3380CC4-5D6E-409C-BE32-E72D297353CC}">
                <c16:uniqueId val="{00000002-AD7D-467B-A50B-5C815623088D}"/>
              </c:ext>
            </c:extLst>
          </c:dPt>
          <c:dPt>
            <c:idx val="3"/>
            <c:invertIfNegative val="0"/>
            <c:bubble3D val="0"/>
            <c:extLst>
              <c:ext xmlns:c16="http://schemas.microsoft.com/office/drawing/2014/chart" uri="{C3380CC4-5D6E-409C-BE32-E72D297353CC}">
                <c16:uniqueId val="{00000003-AD7D-467B-A50B-5C815623088D}"/>
              </c:ext>
            </c:extLst>
          </c:dPt>
          <c:dPt>
            <c:idx val="4"/>
            <c:invertIfNegative val="0"/>
            <c:bubble3D val="0"/>
            <c:extLst>
              <c:ext xmlns:c16="http://schemas.microsoft.com/office/drawing/2014/chart" uri="{C3380CC4-5D6E-409C-BE32-E72D297353CC}">
                <c16:uniqueId val="{00000004-AD7D-467B-A50B-5C815623088D}"/>
              </c:ext>
            </c:extLst>
          </c:dPt>
          <c:dPt>
            <c:idx val="5"/>
            <c:invertIfNegative val="0"/>
            <c:bubble3D val="0"/>
            <c:extLst>
              <c:ext xmlns:c16="http://schemas.microsoft.com/office/drawing/2014/chart" uri="{C3380CC4-5D6E-409C-BE32-E72D297353CC}">
                <c16:uniqueId val="{00000005-AD7D-467B-A50B-5C815623088D}"/>
              </c:ext>
            </c:extLst>
          </c:dPt>
          <c:dPt>
            <c:idx val="6"/>
            <c:invertIfNegative val="0"/>
            <c:bubble3D val="0"/>
            <c:extLst>
              <c:ext xmlns:c16="http://schemas.microsoft.com/office/drawing/2014/chart" uri="{C3380CC4-5D6E-409C-BE32-E72D297353CC}">
                <c16:uniqueId val="{00000006-AD7D-467B-A50B-5C815623088D}"/>
              </c:ext>
            </c:extLst>
          </c:dPt>
          <c:dPt>
            <c:idx val="7"/>
            <c:invertIfNegative val="0"/>
            <c:bubble3D val="0"/>
            <c:extLst>
              <c:ext xmlns:c16="http://schemas.microsoft.com/office/drawing/2014/chart" uri="{C3380CC4-5D6E-409C-BE32-E72D297353CC}">
                <c16:uniqueId val="{00000007-AD7D-467B-A50B-5C815623088D}"/>
              </c:ext>
            </c:extLst>
          </c:dPt>
          <c:dPt>
            <c:idx val="8"/>
            <c:invertIfNegative val="0"/>
            <c:bubble3D val="0"/>
            <c:extLst>
              <c:ext xmlns:c16="http://schemas.microsoft.com/office/drawing/2014/chart" uri="{C3380CC4-5D6E-409C-BE32-E72D297353CC}">
                <c16:uniqueId val="{00000008-AD7D-467B-A50B-5C815623088D}"/>
              </c:ext>
            </c:extLst>
          </c:dPt>
          <c:dPt>
            <c:idx val="9"/>
            <c:invertIfNegative val="0"/>
            <c:bubble3D val="0"/>
            <c:extLst>
              <c:ext xmlns:c16="http://schemas.microsoft.com/office/drawing/2014/chart" uri="{C3380CC4-5D6E-409C-BE32-E72D297353CC}">
                <c16:uniqueId val="{00000009-AD7D-467B-A50B-5C815623088D}"/>
              </c:ext>
            </c:extLst>
          </c:dPt>
          <c:cat>
            <c:strRef>
              <c:f>SHEET1Report!$C$14179:$C$14188</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SHEET1Report!$D$14179:$D$14188</c:f>
              <c:numCache>
                <c:formatCode>"$"#,##0</c:formatCode>
                <c:ptCount val="10"/>
                <c:pt idx="0">
                  <c:v>1215895.122</c:v>
                </c:pt>
                <c:pt idx="1">
                  <c:v>1215895.122</c:v>
                </c:pt>
                <c:pt idx="2">
                  <c:v>1215895.122</c:v>
                </c:pt>
                <c:pt idx="3">
                  <c:v>1215895.122</c:v>
                </c:pt>
                <c:pt idx="4">
                  <c:v>1215895.122</c:v>
                </c:pt>
                <c:pt idx="5">
                  <c:v>1215895.122</c:v>
                </c:pt>
                <c:pt idx="6">
                  <c:v>1215895.122</c:v>
                </c:pt>
                <c:pt idx="7">
                  <c:v>1215895.122</c:v>
                </c:pt>
                <c:pt idx="8">
                  <c:v>1215895.122</c:v>
                </c:pt>
                <c:pt idx="9">
                  <c:v>1215895.122</c:v>
                </c:pt>
              </c:numCache>
            </c:numRef>
          </c:val>
          <c:extLst>
            <c:ext xmlns:c16="http://schemas.microsoft.com/office/drawing/2014/chart" uri="{C3380CC4-5D6E-409C-BE32-E72D297353CC}">
              <c16:uniqueId val="{0000000A-AD7D-467B-A50B-5C815623088D}"/>
            </c:ext>
          </c:extLst>
        </c:ser>
        <c:ser>
          <c:idx val="1"/>
          <c:order val="1"/>
          <c:tx>
            <c:v>Capital Exenditure</c:v>
          </c:tx>
          <c:spPr>
            <a:solidFill>
              <a:srgbClr val="F79646">
                <a:lumMod val="75000"/>
              </a:srgbClr>
            </a:solidFill>
            <a:ln w="9525" cap="flat" cmpd="sng">
              <a:solidFill>
                <a:srgbClr val="984807"/>
              </a:solidFill>
            </a:ln>
          </c:spPr>
          <c:invertIfNegative val="0"/>
          <c:dPt>
            <c:idx val="0"/>
            <c:invertIfNegative val="0"/>
            <c:bubble3D val="0"/>
            <c:extLst>
              <c:ext xmlns:c16="http://schemas.microsoft.com/office/drawing/2014/chart" uri="{C3380CC4-5D6E-409C-BE32-E72D297353CC}">
                <c16:uniqueId val="{0000000B-AD7D-467B-A50B-5C815623088D}"/>
              </c:ext>
            </c:extLst>
          </c:dPt>
          <c:dPt>
            <c:idx val="1"/>
            <c:invertIfNegative val="0"/>
            <c:bubble3D val="0"/>
            <c:extLst>
              <c:ext xmlns:c16="http://schemas.microsoft.com/office/drawing/2014/chart" uri="{C3380CC4-5D6E-409C-BE32-E72D297353CC}">
                <c16:uniqueId val="{0000000C-AD7D-467B-A50B-5C815623088D}"/>
              </c:ext>
            </c:extLst>
          </c:dPt>
          <c:dPt>
            <c:idx val="2"/>
            <c:invertIfNegative val="0"/>
            <c:bubble3D val="0"/>
            <c:extLst>
              <c:ext xmlns:c16="http://schemas.microsoft.com/office/drawing/2014/chart" uri="{C3380CC4-5D6E-409C-BE32-E72D297353CC}">
                <c16:uniqueId val="{0000000D-AD7D-467B-A50B-5C815623088D}"/>
              </c:ext>
            </c:extLst>
          </c:dPt>
          <c:dPt>
            <c:idx val="3"/>
            <c:invertIfNegative val="0"/>
            <c:bubble3D val="0"/>
            <c:extLst>
              <c:ext xmlns:c16="http://schemas.microsoft.com/office/drawing/2014/chart" uri="{C3380CC4-5D6E-409C-BE32-E72D297353CC}">
                <c16:uniqueId val="{0000000E-AD7D-467B-A50B-5C815623088D}"/>
              </c:ext>
            </c:extLst>
          </c:dPt>
          <c:dPt>
            <c:idx val="4"/>
            <c:invertIfNegative val="0"/>
            <c:bubble3D val="0"/>
            <c:extLst>
              <c:ext xmlns:c16="http://schemas.microsoft.com/office/drawing/2014/chart" uri="{C3380CC4-5D6E-409C-BE32-E72D297353CC}">
                <c16:uniqueId val="{0000000F-AD7D-467B-A50B-5C815623088D}"/>
              </c:ext>
            </c:extLst>
          </c:dPt>
          <c:dPt>
            <c:idx val="5"/>
            <c:invertIfNegative val="0"/>
            <c:bubble3D val="0"/>
            <c:extLst>
              <c:ext xmlns:c16="http://schemas.microsoft.com/office/drawing/2014/chart" uri="{C3380CC4-5D6E-409C-BE32-E72D297353CC}">
                <c16:uniqueId val="{00000010-AD7D-467B-A50B-5C815623088D}"/>
              </c:ext>
            </c:extLst>
          </c:dPt>
          <c:dPt>
            <c:idx val="6"/>
            <c:invertIfNegative val="0"/>
            <c:bubble3D val="0"/>
            <c:extLst>
              <c:ext xmlns:c16="http://schemas.microsoft.com/office/drawing/2014/chart" uri="{C3380CC4-5D6E-409C-BE32-E72D297353CC}">
                <c16:uniqueId val="{00000011-AD7D-467B-A50B-5C815623088D}"/>
              </c:ext>
            </c:extLst>
          </c:dPt>
          <c:dPt>
            <c:idx val="7"/>
            <c:invertIfNegative val="0"/>
            <c:bubble3D val="0"/>
            <c:extLst>
              <c:ext xmlns:c16="http://schemas.microsoft.com/office/drawing/2014/chart" uri="{C3380CC4-5D6E-409C-BE32-E72D297353CC}">
                <c16:uniqueId val="{00000012-AD7D-467B-A50B-5C815623088D}"/>
              </c:ext>
            </c:extLst>
          </c:dPt>
          <c:dPt>
            <c:idx val="8"/>
            <c:invertIfNegative val="0"/>
            <c:bubble3D val="0"/>
            <c:extLst>
              <c:ext xmlns:c16="http://schemas.microsoft.com/office/drawing/2014/chart" uri="{C3380CC4-5D6E-409C-BE32-E72D297353CC}">
                <c16:uniqueId val="{00000013-AD7D-467B-A50B-5C815623088D}"/>
              </c:ext>
            </c:extLst>
          </c:dPt>
          <c:dPt>
            <c:idx val="9"/>
            <c:invertIfNegative val="0"/>
            <c:bubble3D val="0"/>
            <c:extLst>
              <c:ext xmlns:c16="http://schemas.microsoft.com/office/drawing/2014/chart" uri="{C3380CC4-5D6E-409C-BE32-E72D297353CC}">
                <c16:uniqueId val="{00000014-AD7D-467B-A50B-5C815623088D}"/>
              </c:ext>
            </c:extLst>
          </c:dPt>
          <c:cat>
            <c:strRef>
              <c:f>SHEET1Report!$C$14179:$C$14188</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SHEET1Report!$E$14179:$E$14188</c:f>
              <c:numCache>
                <c:formatCode>_-* #,##0_-;\-* #,##0_-;_-* "-"??_-;_-@_-</c:formatCode>
                <c:ptCount val="10"/>
                <c:pt idx="0">
                  <c:v>1299761</c:v>
                </c:pt>
                <c:pt idx="1">
                  <c:v>1299761</c:v>
                </c:pt>
                <c:pt idx="2">
                  <c:v>1299761</c:v>
                </c:pt>
                <c:pt idx="3">
                  <c:v>1299761</c:v>
                </c:pt>
                <c:pt idx="4">
                  <c:v>1299761</c:v>
                </c:pt>
                <c:pt idx="5">
                  <c:v>1299761</c:v>
                </c:pt>
                <c:pt idx="6">
                  <c:v>1299761</c:v>
                </c:pt>
                <c:pt idx="7">
                  <c:v>1299761</c:v>
                </c:pt>
                <c:pt idx="8">
                  <c:v>1299761</c:v>
                </c:pt>
                <c:pt idx="9">
                  <c:v>1299761</c:v>
                </c:pt>
              </c:numCache>
            </c:numRef>
          </c:val>
          <c:extLst>
            <c:ext xmlns:c16="http://schemas.microsoft.com/office/drawing/2014/chart" uri="{C3380CC4-5D6E-409C-BE32-E72D297353CC}">
              <c16:uniqueId val="{00000015-AD7D-467B-A50B-5C815623088D}"/>
            </c:ext>
          </c:extLst>
        </c:ser>
        <c:dLbls>
          <c:showLegendKey val="0"/>
          <c:showVal val="0"/>
          <c:showCatName val="0"/>
          <c:showSerName val="0"/>
          <c:showPercent val="0"/>
          <c:showBubbleSize val="0"/>
        </c:dLbls>
        <c:gapWidth val="50"/>
        <c:shape val="box"/>
        <c:axId val="115674112"/>
        <c:axId val="141374592"/>
        <c:axId val="0"/>
      </c:bar3DChart>
      <c:catAx>
        <c:axId val="115674112"/>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w="9525" cap="flat" cmpd="sng"/>
        </c:spPr>
        <c:crossAx val="141374592"/>
        <c:crosses val="autoZero"/>
        <c:auto val="1"/>
        <c:lblAlgn val="ctr"/>
        <c:lblOffset val="100"/>
        <c:noMultiLvlLbl val="0"/>
      </c:catAx>
      <c:valAx>
        <c:axId val="141374592"/>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a:t>
                </a:r>
              </a:p>
            </c:rich>
          </c:tx>
          <c:overlay val="0"/>
          <c:spPr>
            <a:noFill/>
            <a:ln>
              <a:noFill/>
            </a:ln>
          </c:spPr>
        </c:title>
        <c:numFmt formatCode="#,##0" sourceLinked="0"/>
        <c:majorTickMark val="out"/>
        <c:minorTickMark val="none"/>
        <c:tickLblPos val="nextTo"/>
        <c:spPr>
          <a:ln w="9525" cap="flat" cmpd="sng"/>
        </c:spPr>
        <c:crossAx val="115674112"/>
        <c:crosses val="autoZero"/>
        <c:crossBetween val="between"/>
      </c:valAx>
    </c:plotArea>
    <c:legend>
      <c:legendPos val="b"/>
      <c:overlay val="0"/>
      <c:spPr>
        <a:solidFill>
          <a:srgbClr val="FFFFFF"/>
        </a:solidFill>
        <a:ln w="9525" cap="flat" cmpd="sng">
          <a:solidFill>
            <a:srgbClr val="808080"/>
          </a:solidFill>
        </a:ln>
      </c:spPr>
    </c:legend>
    <c:plotVisOnly val="1"/>
    <c:dispBlanksAs val="gap"/>
    <c:showDLblsOverMax val="0"/>
  </c:chart>
  <c:spPr>
    <a:solidFill>
      <a:srgbClr val="000000">
        <a:lumMod val="50000"/>
        <a:lumOff val="50000"/>
      </a:srgb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Roads</c:v>
          </c:tx>
          <c:spPr>
            <a:gradFill rotWithShape="1">
              <a:gsLst>
                <a:gs pos="0">
                  <a:schemeClr val="accent5">
                    <a:lumMod val="50000"/>
                  </a:schemeClr>
                </a:gs>
                <a:gs pos="80000">
                  <a:schemeClr val="accent5">
                    <a:lumMod val="60000"/>
                    <a:lumOff val="40000"/>
                  </a:schemeClr>
                </a:gs>
                <a:gs pos="40000">
                  <a:schemeClr val="accent5">
                    <a:lumMod val="75000"/>
                  </a:schemeClr>
                </a:gs>
                <a:gs pos="100000">
                  <a:schemeClr val="accent1">
                    <a:tint val="23500"/>
                    <a:satMod val="160000"/>
                  </a:schemeClr>
                </a:gs>
              </a:gsLst>
              <a:lin ang="5400000"/>
            </a:gradFill>
            <a:ln w="9525" cap="flat" cmpd="sng">
              <a:solidFill>
                <a:schemeClr val="accent5">
                  <a:lumMod val="50000"/>
                </a:schemeClr>
              </a:solidFill>
            </a:ln>
          </c:spPr>
          <c:invertIfNegative val="0"/>
          <c:cat>
            <c:numRef>
              <c:f>SHEET1Report!$B$14080:$B$14115</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SHEET1Report!$D$14080:$D$14115</c:f>
              <c:numCache>
                <c:formatCode>General</c:formatCode>
                <c:ptCount val="36"/>
                <c:pt idx="0">
                  <c:v>0</c:v>
                </c:pt>
                <c:pt idx="1">
                  <c:v>4638.3999999999996</c:v>
                </c:pt>
                <c:pt idx="2">
                  <c:v>0</c:v>
                </c:pt>
                <c:pt idx="3">
                  <c:v>1981.6799999999998</c:v>
                </c:pt>
                <c:pt idx="4">
                  <c:v>21694.33</c:v>
                </c:pt>
                <c:pt idx="5">
                  <c:v>2053.87</c:v>
                </c:pt>
                <c:pt idx="6">
                  <c:v>7903.5899999999992</c:v>
                </c:pt>
                <c:pt idx="7">
                  <c:v>3776.53</c:v>
                </c:pt>
                <c:pt idx="8">
                  <c:v>12705.380000000003</c:v>
                </c:pt>
                <c:pt idx="9">
                  <c:v>11222.249999999998</c:v>
                </c:pt>
                <c:pt idx="10">
                  <c:v>12131.46</c:v>
                </c:pt>
                <c:pt idx="11">
                  <c:v>4006.7</c:v>
                </c:pt>
                <c:pt idx="12">
                  <c:v>29943.689999999988</c:v>
                </c:pt>
                <c:pt idx="13">
                  <c:v>24273.939999999995</c:v>
                </c:pt>
                <c:pt idx="14">
                  <c:v>61945.410000000033</c:v>
                </c:pt>
                <c:pt idx="15">
                  <c:v>79090.880000000034</c:v>
                </c:pt>
                <c:pt idx="16">
                  <c:v>58031.820000000007</c:v>
                </c:pt>
                <c:pt idx="17">
                  <c:v>38196.790000000008</c:v>
                </c:pt>
                <c:pt idx="18">
                  <c:v>56173.18</c:v>
                </c:pt>
                <c:pt idx="19">
                  <c:v>117849.30000000008</c:v>
                </c:pt>
                <c:pt idx="20">
                  <c:v>43709.70999999997</c:v>
                </c:pt>
                <c:pt idx="21">
                  <c:v>159840.71000000005</c:v>
                </c:pt>
                <c:pt idx="22">
                  <c:v>49249.659999999982</c:v>
                </c:pt>
                <c:pt idx="23">
                  <c:v>31676.769999999997</c:v>
                </c:pt>
                <c:pt idx="24">
                  <c:v>23229.199999999997</c:v>
                </c:pt>
                <c:pt idx="25">
                  <c:v>43806.05</c:v>
                </c:pt>
                <c:pt idx="26">
                  <c:v>41337.780000000021</c:v>
                </c:pt>
                <c:pt idx="27">
                  <c:v>21181.06</c:v>
                </c:pt>
                <c:pt idx="28">
                  <c:v>13181.860000000002</c:v>
                </c:pt>
                <c:pt idx="29">
                  <c:v>39086.209999999992</c:v>
                </c:pt>
                <c:pt idx="30">
                  <c:v>38598.299999999988</c:v>
                </c:pt>
                <c:pt idx="31">
                  <c:v>48749.060000000019</c:v>
                </c:pt>
                <c:pt idx="32">
                  <c:v>35932.039999999994</c:v>
                </c:pt>
                <c:pt idx="33">
                  <c:v>26881.80000000001</c:v>
                </c:pt>
                <c:pt idx="34">
                  <c:v>24876.540000000008</c:v>
                </c:pt>
                <c:pt idx="35">
                  <c:v>941.57</c:v>
                </c:pt>
              </c:numCache>
            </c:numRef>
          </c:val>
          <c:extLst>
            <c:ext xmlns:c16="http://schemas.microsoft.com/office/drawing/2014/chart" uri="{C3380CC4-5D6E-409C-BE32-E72D297353CC}">
              <c16:uniqueId val="{00000000-D5FF-43E9-846F-EDC86B938A55}"/>
            </c:ext>
          </c:extLst>
        </c:ser>
        <c:ser>
          <c:idx val="1"/>
          <c:order val="1"/>
          <c:tx>
            <c:v>Parks</c:v>
          </c:tx>
          <c:spPr>
            <a:solidFill>
              <a:schemeClr val="accent3"/>
            </a:solidFill>
            <a:ln w="9525" cap="flat" cmpd="sng">
              <a:solidFill>
                <a:schemeClr val="accent3">
                  <a:lumMod val="50000"/>
                </a:schemeClr>
              </a:solidFill>
            </a:ln>
          </c:spPr>
          <c:invertIfNegative val="0"/>
          <c:cat>
            <c:numRef>
              <c:f>SHEET1Report!$B$14080:$B$14115</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SHEET1Report!$C$14080:$C$14115</c:f>
              <c:numCache>
                <c:formatCode>General</c:formatCode>
                <c:ptCount val="36"/>
                <c:pt idx="0">
                  <c:v>0</c:v>
                </c:pt>
                <c:pt idx="1">
                  <c:v>1181.1199999999999</c:v>
                </c:pt>
                <c:pt idx="2">
                  <c:v>0</c:v>
                </c:pt>
                <c:pt idx="3">
                  <c:v>0</c:v>
                </c:pt>
                <c:pt idx="4">
                  <c:v>70.05</c:v>
                </c:pt>
                <c:pt idx="5">
                  <c:v>0</c:v>
                </c:pt>
                <c:pt idx="6">
                  <c:v>0</c:v>
                </c:pt>
                <c:pt idx="7">
                  <c:v>84.67</c:v>
                </c:pt>
                <c:pt idx="8">
                  <c:v>362.23</c:v>
                </c:pt>
                <c:pt idx="9">
                  <c:v>1214.58</c:v>
                </c:pt>
                <c:pt idx="10">
                  <c:v>2697.5299999999997</c:v>
                </c:pt>
                <c:pt idx="11">
                  <c:v>593.29</c:v>
                </c:pt>
                <c:pt idx="12">
                  <c:v>9032.4600000000009</c:v>
                </c:pt>
                <c:pt idx="13">
                  <c:v>3417.29</c:v>
                </c:pt>
                <c:pt idx="14">
                  <c:v>10355.479999999998</c:v>
                </c:pt>
                <c:pt idx="15">
                  <c:v>16125.140000000005</c:v>
                </c:pt>
                <c:pt idx="16">
                  <c:v>5696.37</c:v>
                </c:pt>
                <c:pt idx="17">
                  <c:v>6720.4900000000007</c:v>
                </c:pt>
                <c:pt idx="18">
                  <c:v>3588.2599999999998</c:v>
                </c:pt>
                <c:pt idx="19">
                  <c:v>32983.890000000007</c:v>
                </c:pt>
                <c:pt idx="20">
                  <c:v>8099.7399999999989</c:v>
                </c:pt>
                <c:pt idx="21">
                  <c:v>56361.149999999987</c:v>
                </c:pt>
                <c:pt idx="22">
                  <c:v>8716.2099999999991</c:v>
                </c:pt>
                <c:pt idx="23">
                  <c:v>5673.7099999999991</c:v>
                </c:pt>
                <c:pt idx="24">
                  <c:v>14427.34</c:v>
                </c:pt>
                <c:pt idx="25">
                  <c:v>6000.4000000000005</c:v>
                </c:pt>
                <c:pt idx="26">
                  <c:v>8972.760000000002</c:v>
                </c:pt>
                <c:pt idx="27">
                  <c:v>2280.0600000000004</c:v>
                </c:pt>
                <c:pt idx="28">
                  <c:v>615.65</c:v>
                </c:pt>
                <c:pt idx="29">
                  <c:v>2386.37</c:v>
                </c:pt>
                <c:pt idx="30">
                  <c:v>4877.33</c:v>
                </c:pt>
                <c:pt idx="31">
                  <c:v>13288.880000000001</c:v>
                </c:pt>
                <c:pt idx="32">
                  <c:v>9175.3599999999988</c:v>
                </c:pt>
                <c:pt idx="33">
                  <c:v>6267.4599999999991</c:v>
                </c:pt>
                <c:pt idx="34">
                  <c:v>1268.1600000000001</c:v>
                </c:pt>
                <c:pt idx="35">
                  <c:v>0</c:v>
                </c:pt>
              </c:numCache>
            </c:numRef>
          </c:val>
          <c:extLst>
            <c:ext xmlns:c16="http://schemas.microsoft.com/office/drawing/2014/chart" uri="{C3380CC4-5D6E-409C-BE32-E72D297353CC}">
              <c16:uniqueId val="{00000001-D5FF-43E9-846F-EDC86B938A55}"/>
            </c:ext>
          </c:extLst>
        </c:ser>
        <c:dLbls>
          <c:showLegendKey val="0"/>
          <c:showVal val="0"/>
          <c:showCatName val="0"/>
          <c:showSerName val="0"/>
          <c:showPercent val="0"/>
          <c:showBubbleSize val="0"/>
        </c:dLbls>
        <c:gapWidth val="14"/>
        <c:overlap val="100"/>
        <c:axId val="146942592"/>
        <c:axId val="147035648"/>
      </c:barChart>
      <c:catAx>
        <c:axId val="146942592"/>
        <c:scaling>
          <c:orientation val="minMax"/>
        </c:scaling>
        <c:delete val="0"/>
        <c:axPos val="b"/>
        <c:majorGridlines/>
        <c:minorGridlines>
          <c:spPr>
            <a:ln>
              <a:noFill/>
            </a:ln>
          </c:spPr>
        </c:minorGridlines>
        <c:numFmt formatCode="General" sourceLinked="1"/>
        <c:majorTickMark val="cross"/>
        <c:minorTickMark val="none"/>
        <c:tickLblPos val="nextTo"/>
        <c:spPr>
          <a:ln w="9525" cap="flat" cmpd="sng"/>
        </c:spPr>
        <c:txPr>
          <a:bodyPr rot="5400000" vert="horz"/>
          <a:lstStyle/>
          <a:p>
            <a:pPr>
              <a:defRPr lang="en-US" sz="1100" u="none" baseline="0">
                <a:solidFill>
                  <a:schemeClr val="tx1"/>
                </a:solidFill>
                <a:latin typeface="Arial Narrow"/>
                <a:ea typeface="Arial Narrow"/>
                <a:cs typeface="Arial Narrow"/>
              </a:defRPr>
            </a:pPr>
            <a:endParaRPr lang="en-US"/>
          </a:p>
        </c:txPr>
        <c:crossAx val="147035648"/>
        <c:crosses val="autoZero"/>
        <c:auto val="1"/>
        <c:lblAlgn val="ctr"/>
        <c:lblOffset val="100"/>
        <c:noMultiLvlLbl val="0"/>
      </c:catAx>
      <c:valAx>
        <c:axId val="147035648"/>
        <c:scaling>
          <c:orientation val="minMax"/>
          <c:max val="250000"/>
        </c:scaling>
        <c:delete val="0"/>
        <c:axPos val="l"/>
        <c:majorGridlines/>
        <c:minorGridlines>
          <c:spPr>
            <a:ln>
              <a:noFill/>
            </a:ln>
          </c:spPr>
        </c:minorGridlines>
        <c:title>
          <c:tx>
            <c:rich>
              <a:bodyPr rot="-5400000" vert="horz"/>
              <a:lstStyle/>
              <a:p>
                <a:pPr algn="ctr">
                  <a:defRPr/>
                </a:pPr>
                <a:r>
                  <a:rPr lang="en-US" u="none" baseline="0">
                    <a:solidFill>
                      <a:schemeClr val="tx1"/>
                    </a:solidFill>
                  </a:rPr>
                  <a:t>Area m2</a:t>
                </a:r>
              </a:p>
            </c:rich>
          </c:tx>
          <c:overlay val="0"/>
          <c:spPr>
            <a:noFill/>
            <a:ln>
              <a:noFill/>
            </a:ln>
          </c:spPr>
        </c:title>
        <c:numFmt formatCode="#,##0" sourceLinked="0"/>
        <c:majorTickMark val="out"/>
        <c:minorTickMark val="none"/>
        <c:tickLblPos val="nextTo"/>
        <c:spPr>
          <a:ln w="9525" cap="flat" cmpd="sng"/>
        </c:spPr>
        <c:crossAx val="146942592"/>
        <c:crosses val="autoZero"/>
        <c:crossBetween val="between"/>
      </c:valAx>
    </c:plotArea>
    <c:legend>
      <c:legendPos val="b"/>
      <c:overlay val="0"/>
      <c:spPr>
        <a:solidFill>
          <a:schemeClr val="bg1"/>
        </a:solidFill>
      </c:spPr>
    </c:legend>
    <c:plotVisOnly val="1"/>
    <c:dispBlanksAs val="gap"/>
    <c:showDLblsOverMax val="0"/>
  </c:chart>
  <c:spPr>
    <a:solidFill>
      <a:schemeClr val="bg1">
        <a:lumMod val="50000"/>
      </a:schemeClr>
    </a:solidFill>
  </c:spPr>
  <c:txPr>
    <a:bodyPr rot="0" vert="horz"/>
    <a:lstStyle/>
    <a:p>
      <a:pPr>
        <a:defRPr lang="en-US" sz="1100" u="none" baseline="0">
          <a:solidFill>
            <a:schemeClr val="tx1"/>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bar3DChart>
        <c:barDir val="col"/>
        <c:grouping val="clustered"/>
        <c:varyColors val="0"/>
        <c:ser>
          <c:idx val="0"/>
          <c:order val="0"/>
          <c:tx>
            <c:v>Roads</c:v>
          </c:tx>
          <c:spPr>
            <a:gradFill rotWithShape="1">
              <a:gsLst>
                <a:gs pos="0">
                  <a:srgbClr val="4BACC6">
                    <a:lumMod val="50000"/>
                  </a:srgbClr>
                </a:gs>
                <a:gs pos="50000">
                  <a:srgbClr val="4BACC6">
                    <a:lumMod val="60000"/>
                    <a:lumOff val="40000"/>
                  </a:srgbClr>
                </a:gs>
                <a:gs pos="100000">
                  <a:srgbClr val="4BACC6">
                    <a:lumMod val="20000"/>
                    <a:lumOff val="80000"/>
                  </a:srgbClr>
                </a:gs>
              </a:gsLst>
              <a:lin ang="16200000" scaled="1"/>
              <a:tileRect/>
            </a:gradFill>
            <a:ln w="9525" cap="flat" cmpd="sng">
              <a:solidFill>
                <a:srgbClr val="215968"/>
              </a:solidFill>
            </a:ln>
          </c:spPr>
          <c:invertIfNegative val="0"/>
          <c:cat>
            <c:numRef>
              <c:f>SHEET1Report!$B$13783:$B$13787</c:f>
              <c:numCache>
                <c:formatCode>General</c:formatCode>
                <c:ptCount val="5"/>
                <c:pt idx="0">
                  <c:v>1</c:v>
                </c:pt>
                <c:pt idx="1">
                  <c:v>2</c:v>
                </c:pt>
                <c:pt idx="2">
                  <c:v>3</c:v>
                </c:pt>
                <c:pt idx="3">
                  <c:v>4</c:v>
                </c:pt>
                <c:pt idx="4">
                  <c:v>5</c:v>
                </c:pt>
              </c:numCache>
            </c:numRef>
          </c:cat>
          <c:val>
            <c:numRef>
              <c:f>SHEET1Report!$C$13783:$C$13787</c:f>
              <c:numCache>
                <c:formatCode>#,##0</c:formatCode>
                <c:ptCount val="5"/>
                <c:pt idx="0">
                  <c:v>385526.89000000106</c:v>
                </c:pt>
                <c:pt idx="1">
                  <c:v>509057.43000000017</c:v>
                </c:pt>
                <c:pt idx="2">
                  <c:v>228654.98000000004</c:v>
                </c:pt>
                <c:pt idx="3">
                  <c:v>55900.580000000024</c:v>
                </c:pt>
                <c:pt idx="4">
                  <c:v>16177.799999999997</c:v>
                </c:pt>
              </c:numCache>
            </c:numRef>
          </c:val>
          <c:extLst>
            <c:ext xmlns:c16="http://schemas.microsoft.com/office/drawing/2014/chart" uri="{C3380CC4-5D6E-409C-BE32-E72D297353CC}">
              <c16:uniqueId val="{00000000-1AB8-4666-9EB9-9493C3C93138}"/>
            </c:ext>
          </c:extLst>
        </c:ser>
        <c:ser>
          <c:idx val="1"/>
          <c:order val="1"/>
          <c:tx>
            <c:v>Parks</c:v>
          </c:tx>
          <c:spPr>
            <a:solidFill>
              <a:srgbClr val="9BBB59">
                <a:lumMod val="75000"/>
              </a:srgbClr>
            </a:solidFill>
            <a:ln w="9525" cap="flat" cmpd="sng">
              <a:solidFill>
                <a:srgbClr val="4F6228"/>
              </a:solidFill>
            </a:ln>
          </c:spPr>
          <c:invertIfNegative val="0"/>
          <c:cat>
            <c:numRef>
              <c:f>SHEET1Report!$B$13783:$B$13787</c:f>
              <c:numCache>
                <c:formatCode>General</c:formatCode>
                <c:ptCount val="5"/>
                <c:pt idx="0">
                  <c:v>1</c:v>
                </c:pt>
                <c:pt idx="1">
                  <c:v>2</c:v>
                </c:pt>
                <c:pt idx="2">
                  <c:v>3</c:v>
                </c:pt>
                <c:pt idx="3">
                  <c:v>4</c:v>
                </c:pt>
                <c:pt idx="4">
                  <c:v>5</c:v>
                </c:pt>
              </c:numCache>
            </c:numRef>
          </c:cat>
          <c:val>
            <c:numRef>
              <c:f>SHEET1Report!$D$13783:$D$13787</c:f>
              <c:numCache>
                <c:formatCode>#,##0</c:formatCode>
                <c:ptCount val="5"/>
                <c:pt idx="0">
                  <c:v>68450.830000000031</c:v>
                </c:pt>
                <c:pt idx="1">
                  <c:v>91498.660000000033</c:v>
                </c:pt>
                <c:pt idx="2">
                  <c:v>56639.130000000005</c:v>
                </c:pt>
                <c:pt idx="3">
                  <c:v>21432.42</c:v>
                </c:pt>
                <c:pt idx="4">
                  <c:v>4069.26</c:v>
                </c:pt>
              </c:numCache>
            </c:numRef>
          </c:val>
          <c:extLst>
            <c:ext xmlns:c16="http://schemas.microsoft.com/office/drawing/2014/chart" uri="{C3380CC4-5D6E-409C-BE32-E72D297353CC}">
              <c16:uniqueId val="{00000001-1AB8-4666-9EB9-9493C3C93138}"/>
            </c:ext>
          </c:extLst>
        </c:ser>
        <c:dLbls>
          <c:showLegendKey val="0"/>
          <c:showVal val="0"/>
          <c:showCatName val="0"/>
          <c:showSerName val="0"/>
          <c:showPercent val="0"/>
          <c:showBubbleSize val="0"/>
        </c:dLbls>
        <c:gapWidth val="50"/>
        <c:shape val="box"/>
        <c:axId val="184101504"/>
        <c:axId val="190703104"/>
        <c:axId val="0"/>
      </c:bar3DChart>
      <c:catAx>
        <c:axId val="184101504"/>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Condition Rating</a:t>
                </a:r>
              </a:p>
            </c:rich>
          </c:tx>
          <c:overlay val="0"/>
          <c:spPr>
            <a:solidFill>
              <a:sysClr val="window" lastClr="FFFFFF"/>
            </a:solidFill>
            <a:ln>
              <a:noFill/>
            </a:ln>
          </c:spPr>
        </c:title>
        <c:numFmt formatCode="General" sourceLinked="1"/>
        <c:majorTickMark val="out"/>
        <c:minorTickMark val="none"/>
        <c:tickLblPos val="nextTo"/>
        <c:spPr>
          <a:ln w="9525" cap="flat" cmpd="sng"/>
        </c:spPr>
        <c:crossAx val="190703104"/>
        <c:crosses val="autoZero"/>
        <c:auto val="1"/>
        <c:lblAlgn val="ctr"/>
        <c:lblOffset val="100"/>
        <c:noMultiLvlLbl val="0"/>
      </c:catAx>
      <c:valAx>
        <c:axId val="190703104"/>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Area m2</a:t>
                </a:r>
              </a:p>
            </c:rich>
          </c:tx>
          <c:overlay val="0"/>
          <c:spPr>
            <a:noFill/>
            <a:ln>
              <a:noFill/>
            </a:ln>
          </c:spPr>
        </c:title>
        <c:numFmt formatCode="#,##0" sourceLinked="0"/>
        <c:majorTickMark val="out"/>
        <c:minorTickMark val="none"/>
        <c:tickLblPos val="nextTo"/>
        <c:spPr>
          <a:ln w="9525" cap="flat" cmpd="sng"/>
        </c:spPr>
        <c:crossAx val="184101504"/>
        <c:crosses val="autoZero"/>
        <c:crossBetween val="between"/>
      </c:valAx>
    </c:plotArea>
    <c:legend>
      <c:legendPos val="r"/>
      <c:layout>
        <c:manualLayout>
          <c:xMode val="edge"/>
          <c:yMode val="edge"/>
          <c:x val="0.80349999999999999"/>
          <c:y val="0.1145"/>
          <c:w val="0.1045"/>
          <c:h val="0.13275000000000001"/>
        </c:manualLayout>
      </c:layout>
      <c:overlay val="1"/>
      <c:spPr>
        <a:solidFill>
          <a:srgbClr val="FFFFFF">
            <a:lumMod val="95000"/>
          </a:srgbClr>
        </a:solidFill>
        <a:ln w="9525" cap="flat" cmpd="sng">
          <a:solidFill>
            <a:srgbClr val="808080"/>
          </a:solidFill>
        </a:ln>
      </c:spPr>
    </c:legend>
    <c:plotVisOnly val="1"/>
    <c:dispBlanksAs val="gap"/>
    <c:showDLblsOverMax val="0"/>
  </c:chart>
  <c:spPr>
    <a:solidFill>
      <a:srgbClr val="000000">
        <a:lumMod val="50000"/>
        <a:lumOff val="50000"/>
      </a:srgb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95000"/>
          </a:schemeClr>
        </a:solidFill>
      </c:spPr>
    </c:floor>
    <c:sideWall>
      <c:thickness val="0"/>
    </c:sideWall>
    <c:backWall>
      <c:thickness val="0"/>
      <c:spPr>
        <a:solidFill>
          <a:schemeClr val="bg1"/>
        </a:solidFill>
      </c:spPr>
    </c:backWall>
    <c:plotArea>
      <c:layout/>
      <c:bar3DChart>
        <c:barDir val="bar"/>
        <c:grouping val="stacked"/>
        <c:varyColors val="0"/>
        <c:ser>
          <c:idx val="0"/>
          <c:order val="0"/>
          <c:tx>
            <c:v>Condition 1</c:v>
          </c:tx>
          <c:spPr>
            <a:solidFill>
              <a:schemeClr val="accent5">
                <a:lumMod val="50000"/>
              </a:schemeClr>
            </a:solidFill>
            <a:ln w="9525" cap="flat" cmpd="sng">
              <a:solidFill>
                <a:schemeClr val="accent5">
                  <a:lumMod val="50000"/>
                </a:schemeClr>
              </a:solidFill>
            </a:ln>
          </c:spPr>
          <c:invertIfNegative val="0"/>
          <c:cat>
            <c:strRef>
              <c:f>SHEET1Report!$H$14051:$H$14073</c:f>
              <c:strCache>
                <c:ptCount val="23"/>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Leeming</c:v>
                </c:pt>
                <c:pt idx="14">
                  <c:v>Munster</c:v>
                </c:pt>
                <c:pt idx="15">
                  <c:v>North Coogee</c:v>
                </c:pt>
                <c:pt idx="16">
                  <c:v>North Lake</c:v>
                </c:pt>
                <c:pt idx="17">
                  <c:v>South Lake</c:v>
                </c:pt>
                <c:pt idx="18">
                  <c:v>Spearwood</c:v>
                </c:pt>
                <c:pt idx="19">
                  <c:v>Success</c:v>
                </c:pt>
                <c:pt idx="20">
                  <c:v>Treeby</c:v>
                </c:pt>
                <c:pt idx="21">
                  <c:v>Wattleup</c:v>
                </c:pt>
                <c:pt idx="22">
                  <c:v>Yangebup</c:v>
                </c:pt>
              </c:strCache>
            </c:strRef>
          </c:cat>
          <c:val>
            <c:numRef>
              <c:f>SHEET1Report!$C$14051:$C$14073</c:f>
              <c:numCache>
                <c:formatCode>General</c:formatCode>
                <c:ptCount val="23"/>
                <c:pt idx="0">
                  <c:v>39248.93</c:v>
                </c:pt>
                <c:pt idx="1">
                  <c:v>36505.94000000001</c:v>
                </c:pt>
                <c:pt idx="2">
                  <c:v>857.86000000000013</c:v>
                </c:pt>
                <c:pt idx="3">
                  <c:v>34700.829999999965</c:v>
                </c:pt>
                <c:pt idx="4">
                  <c:v>7149.83</c:v>
                </c:pt>
                <c:pt idx="5">
                  <c:v>34568.129999999997</c:v>
                </c:pt>
                <c:pt idx="6">
                  <c:v>14149.660000000002</c:v>
                </c:pt>
                <c:pt idx="7">
                  <c:v>7021.0500000000011</c:v>
                </c:pt>
                <c:pt idx="8">
                  <c:v>2879.4600000000005</c:v>
                </c:pt>
                <c:pt idx="9">
                  <c:v>60714.769999999968</c:v>
                </c:pt>
                <c:pt idx="10">
                  <c:v>1553.29</c:v>
                </c:pt>
                <c:pt idx="11">
                  <c:v>13387.05</c:v>
                </c:pt>
                <c:pt idx="12">
                  <c:v>1779.9800000000002</c:v>
                </c:pt>
                <c:pt idx="14">
                  <c:v>634.9</c:v>
                </c:pt>
                <c:pt idx="15">
                  <c:v>44531.780000000006</c:v>
                </c:pt>
                <c:pt idx="16">
                  <c:v>531.94000000000005</c:v>
                </c:pt>
                <c:pt idx="17">
                  <c:v>8549.74</c:v>
                </c:pt>
                <c:pt idx="18">
                  <c:v>11796.610000000002</c:v>
                </c:pt>
                <c:pt idx="19">
                  <c:v>72312.070000000051</c:v>
                </c:pt>
                <c:pt idx="20">
                  <c:v>53030.579999999994</c:v>
                </c:pt>
                <c:pt idx="22">
                  <c:v>22615.770000000004</c:v>
                </c:pt>
              </c:numCache>
            </c:numRef>
          </c:val>
          <c:extLst>
            <c:ext xmlns:c16="http://schemas.microsoft.com/office/drawing/2014/chart" uri="{C3380CC4-5D6E-409C-BE32-E72D297353CC}">
              <c16:uniqueId val="{00000000-431F-475E-BC6D-AF1668F16B90}"/>
            </c:ext>
          </c:extLst>
        </c:ser>
        <c:ser>
          <c:idx val="2"/>
          <c:order val="1"/>
          <c:tx>
            <c:v>Condition 2</c:v>
          </c:tx>
          <c:spPr>
            <a:solidFill>
              <a:schemeClr val="accent5"/>
            </a:solidFill>
            <a:ln w="9525" cap="flat" cmpd="sng">
              <a:solidFill>
                <a:schemeClr val="accent5">
                  <a:lumMod val="50000"/>
                </a:schemeClr>
              </a:solidFill>
            </a:ln>
          </c:spPr>
          <c:invertIfNegative val="0"/>
          <c:cat>
            <c:strRef>
              <c:f>SHEET1Report!$H$14051:$H$14073</c:f>
              <c:strCache>
                <c:ptCount val="23"/>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Leeming</c:v>
                </c:pt>
                <c:pt idx="14">
                  <c:v>Munster</c:v>
                </c:pt>
                <c:pt idx="15">
                  <c:v>North Coogee</c:v>
                </c:pt>
                <c:pt idx="16">
                  <c:v>North Lake</c:v>
                </c:pt>
                <c:pt idx="17">
                  <c:v>South Lake</c:v>
                </c:pt>
                <c:pt idx="18">
                  <c:v>Spearwood</c:v>
                </c:pt>
                <c:pt idx="19">
                  <c:v>Success</c:v>
                </c:pt>
                <c:pt idx="20">
                  <c:v>Treeby</c:v>
                </c:pt>
                <c:pt idx="21">
                  <c:v>Wattleup</c:v>
                </c:pt>
                <c:pt idx="22">
                  <c:v>Yangebup</c:v>
                </c:pt>
              </c:strCache>
            </c:strRef>
          </c:cat>
          <c:val>
            <c:numRef>
              <c:f>SHEET1Report!$D$14051:$D$14073</c:f>
              <c:numCache>
                <c:formatCode>General</c:formatCode>
                <c:ptCount val="23"/>
                <c:pt idx="0">
                  <c:v>33068.519999999982</c:v>
                </c:pt>
                <c:pt idx="1">
                  <c:v>28535.189999999995</c:v>
                </c:pt>
                <c:pt idx="2">
                  <c:v>1986.22</c:v>
                </c:pt>
                <c:pt idx="3">
                  <c:v>28170.970000000005</c:v>
                </c:pt>
                <c:pt idx="4">
                  <c:v>58543.829999999965</c:v>
                </c:pt>
                <c:pt idx="5">
                  <c:v>16874.640000000007</c:v>
                </c:pt>
                <c:pt idx="6">
                  <c:v>31639.160000000003</c:v>
                </c:pt>
                <c:pt idx="7">
                  <c:v>50920.119999999966</c:v>
                </c:pt>
                <c:pt idx="8">
                  <c:v>65489.290000000023</c:v>
                </c:pt>
                <c:pt idx="9">
                  <c:v>20914.60999999999</c:v>
                </c:pt>
                <c:pt idx="10">
                  <c:v>19713.829999999998</c:v>
                </c:pt>
                <c:pt idx="11">
                  <c:v>20580.269999999997</c:v>
                </c:pt>
                <c:pt idx="12">
                  <c:v>27218.059999999994</c:v>
                </c:pt>
                <c:pt idx="13">
                  <c:v>3343.2500000000009</c:v>
                </c:pt>
                <c:pt idx="15">
                  <c:v>20914.089999999997</c:v>
                </c:pt>
                <c:pt idx="16">
                  <c:v>5350.17</c:v>
                </c:pt>
                <c:pt idx="17">
                  <c:v>23541.350000000006</c:v>
                </c:pt>
                <c:pt idx="18">
                  <c:v>65855.470000000016</c:v>
                </c:pt>
                <c:pt idx="19">
                  <c:v>37523.690000000017</c:v>
                </c:pt>
                <c:pt idx="20">
                  <c:v>243.95</c:v>
                </c:pt>
                <c:pt idx="21">
                  <c:v>690.58</c:v>
                </c:pt>
                <c:pt idx="22">
                  <c:v>40288.009999999987</c:v>
                </c:pt>
              </c:numCache>
            </c:numRef>
          </c:val>
          <c:extLst>
            <c:ext xmlns:c16="http://schemas.microsoft.com/office/drawing/2014/chart" uri="{C3380CC4-5D6E-409C-BE32-E72D297353CC}">
              <c16:uniqueId val="{00000001-431F-475E-BC6D-AF1668F16B90}"/>
            </c:ext>
          </c:extLst>
        </c:ser>
        <c:ser>
          <c:idx val="1"/>
          <c:order val="2"/>
          <c:tx>
            <c:v>Condition 3</c:v>
          </c:tx>
          <c:spPr>
            <a:solidFill>
              <a:schemeClr val="accent5">
                <a:lumMod val="20000"/>
                <a:lumOff val="80000"/>
              </a:schemeClr>
            </a:solidFill>
            <a:ln w="9525" cap="flat" cmpd="sng">
              <a:solidFill>
                <a:schemeClr val="accent5">
                  <a:lumMod val="50000"/>
                </a:schemeClr>
              </a:solidFill>
            </a:ln>
          </c:spPr>
          <c:invertIfNegative val="0"/>
          <c:cat>
            <c:strRef>
              <c:f>SHEET1Report!$H$14051:$H$14073</c:f>
              <c:strCache>
                <c:ptCount val="23"/>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Leeming</c:v>
                </c:pt>
                <c:pt idx="14">
                  <c:v>Munster</c:v>
                </c:pt>
                <c:pt idx="15">
                  <c:v>North Coogee</c:v>
                </c:pt>
                <c:pt idx="16">
                  <c:v>North Lake</c:v>
                </c:pt>
                <c:pt idx="17">
                  <c:v>South Lake</c:v>
                </c:pt>
                <c:pt idx="18">
                  <c:v>Spearwood</c:v>
                </c:pt>
                <c:pt idx="19">
                  <c:v>Success</c:v>
                </c:pt>
                <c:pt idx="20">
                  <c:v>Treeby</c:v>
                </c:pt>
                <c:pt idx="21">
                  <c:v>Wattleup</c:v>
                </c:pt>
                <c:pt idx="22">
                  <c:v>Yangebup</c:v>
                </c:pt>
              </c:strCache>
            </c:strRef>
          </c:cat>
          <c:val>
            <c:numRef>
              <c:f>SHEET1Report!$E$14051:$E$14073</c:f>
              <c:numCache>
                <c:formatCode>General</c:formatCode>
                <c:ptCount val="23"/>
                <c:pt idx="0">
                  <c:v>10071.17</c:v>
                </c:pt>
                <c:pt idx="1">
                  <c:v>4943.920000000001</c:v>
                </c:pt>
                <c:pt idx="3">
                  <c:v>12571.749999999996</c:v>
                </c:pt>
                <c:pt idx="4">
                  <c:v>46660.020000000004</c:v>
                </c:pt>
                <c:pt idx="5">
                  <c:v>4749.72</c:v>
                </c:pt>
                <c:pt idx="6">
                  <c:v>8954.82</c:v>
                </c:pt>
                <c:pt idx="7">
                  <c:v>10335.460000000003</c:v>
                </c:pt>
                <c:pt idx="8">
                  <c:v>46380.150000000016</c:v>
                </c:pt>
                <c:pt idx="9">
                  <c:v>1671.5999999999997</c:v>
                </c:pt>
                <c:pt idx="10">
                  <c:v>13844.429999999998</c:v>
                </c:pt>
                <c:pt idx="11">
                  <c:v>5736.37</c:v>
                </c:pt>
                <c:pt idx="12">
                  <c:v>14421.890000000001</c:v>
                </c:pt>
                <c:pt idx="13">
                  <c:v>4067.43</c:v>
                </c:pt>
                <c:pt idx="14">
                  <c:v>137.34</c:v>
                </c:pt>
                <c:pt idx="15">
                  <c:v>4363.5300000000007</c:v>
                </c:pt>
                <c:pt idx="16">
                  <c:v>15326.31</c:v>
                </c:pt>
                <c:pt idx="17">
                  <c:v>17807.740000000002</c:v>
                </c:pt>
                <c:pt idx="18">
                  <c:v>33179.639999999992</c:v>
                </c:pt>
                <c:pt idx="19">
                  <c:v>10539.669999999998</c:v>
                </c:pt>
                <c:pt idx="20">
                  <c:v>198.95000000000002</c:v>
                </c:pt>
                <c:pt idx="21">
                  <c:v>504.07</c:v>
                </c:pt>
                <c:pt idx="22">
                  <c:v>18782.469999999998</c:v>
                </c:pt>
              </c:numCache>
            </c:numRef>
          </c:val>
          <c:extLst>
            <c:ext xmlns:c16="http://schemas.microsoft.com/office/drawing/2014/chart" uri="{C3380CC4-5D6E-409C-BE32-E72D297353CC}">
              <c16:uniqueId val="{00000002-431F-475E-BC6D-AF1668F16B90}"/>
            </c:ext>
          </c:extLst>
        </c:ser>
        <c:ser>
          <c:idx val="3"/>
          <c:order val="3"/>
          <c:tx>
            <c:v>Condition 4</c:v>
          </c:tx>
          <c:spPr>
            <a:solidFill>
              <a:srgbClr val="92D050"/>
            </a:solidFill>
            <a:ln w="9525" cap="flat" cmpd="sng">
              <a:solidFill>
                <a:schemeClr val="accent3">
                  <a:lumMod val="50000"/>
                </a:schemeClr>
              </a:solidFill>
            </a:ln>
          </c:spPr>
          <c:invertIfNegative val="0"/>
          <c:cat>
            <c:strRef>
              <c:f>SHEET1Report!$H$14051:$H$14073</c:f>
              <c:strCache>
                <c:ptCount val="23"/>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Leeming</c:v>
                </c:pt>
                <c:pt idx="14">
                  <c:v>Munster</c:v>
                </c:pt>
                <c:pt idx="15">
                  <c:v>North Coogee</c:v>
                </c:pt>
                <c:pt idx="16">
                  <c:v>North Lake</c:v>
                </c:pt>
                <c:pt idx="17">
                  <c:v>South Lake</c:v>
                </c:pt>
                <c:pt idx="18">
                  <c:v>Spearwood</c:v>
                </c:pt>
                <c:pt idx="19">
                  <c:v>Success</c:v>
                </c:pt>
                <c:pt idx="20">
                  <c:v>Treeby</c:v>
                </c:pt>
                <c:pt idx="21">
                  <c:v>Wattleup</c:v>
                </c:pt>
                <c:pt idx="22">
                  <c:v>Yangebup</c:v>
                </c:pt>
              </c:strCache>
            </c:strRef>
          </c:cat>
          <c:val>
            <c:numRef>
              <c:f>SHEET1Report!$F$14051:$F$14073</c:f>
              <c:numCache>
                <c:formatCode>General</c:formatCode>
                <c:ptCount val="23"/>
                <c:pt idx="0">
                  <c:v>4220.26</c:v>
                </c:pt>
                <c:pt idx="1">
                  <c:v>1955.7399999999998</c:v>
                </c:pt>
                <c:pt idx="3">
                  <c:v>1488.37</c:v>
                </c:pt>
                <c:pt idx="4">
                  <c:v>10788.93</c:v>
                </c:pt>
                <c:pt idx="5">
                  <c:v>2739.9099999999994</c:v>
                </c:pt>
                <c:pt idx="6">
                  <c:v>5676.5999999999995</c:v>
                </c:pt>
                <c:pt idx="7">
                  <c:v>1839.05</c:v>
                </c:pt>
                <c:pt idx="8">
                  <c:v>8486.4600000000009</c:v>
                </c:pt>
                <c:pt idx="9">
                  <c:v>690.0200000000001</c:v>
                </c:pt>
                <c:pt idx="10">
                  <c:v>810.3900000000001</c:v>
                </c:pt>
                <c:pt idx="11">
                  <c:v>3340.6800000000003</c:v>
                </c:pt>
                <c:pt idx="12">
                  <c:v>2352.2600000000002</c:v>
                </c:pt>
                <c:pt idx="13">
                  <c:v>1591.0000000000002</c:v>
                </c:pt>
                <c:pt idx="15">
                  <c:v>2273.77</c:v>
                </c:pt>
                <c:pt idx="16">
                  <c:v>986.5200000000001</c:v>
                </c:pt>
                <c:pt idx="17">
                  <c:v>9467.19</c:v>
                </c:pt>
                <c:pt idx="18">
                  <c:v>3853.6600000000008</c:v>
                </c:pt>
                <c:pt idx="19">
                  <c:v>8832.8599999999988</c:v>
                </c:pt>
                <c:pt idx="20">
                  <c:v>109.24</c:v>
                </c:pt>
                <c:pt idx="21">
                  <c:v>1000.7</c:v>
                </c:pt>
                <c:pt idx="22">
                  <c:v>4829.3899999999994</c:v>
                </c:pt>
              </c:numCache>
            </c:numRef>
          </c:val>
          <c:extLst>
            <c:ext xmlns:c16="http://schemas.microsoft.com/office/drawing/2014/chart" uri="{C3380CC4-5D6E-409C-BE32-E72D297353CC}">
              <c16:uniqueId val="{00000003-431F-475E-BC6D-AF1668F16B90}"/>
            </c:ext>
          </c:extLst>
        </c:ser>
        <c:ser>
          <c:idx val="4"/>
          <c:order val="4"/>
          <c:tx>
            <c:v>Condition 5</c:v>
          </c:tx>
          <c:spPr>
            <a:solidFill>
              <a:srgbClr val="FF0000"/>
            </a:solidFill>
            <a:ln w="9525" cap="flat" cmpd="sng">
              <a:solidFill>
                <a:srgbClr val="FF0000"/>
              </a:solidFill>
            </a:ln>
          </c:spPr>
          <c:invertIfNegative val="0"/>
          <c:cat>
            <c:strRef>
              <c:f>SHEET1Report!$H$14051:$H$14073</c:f>
              <c:strCache>
                <c:ptCount val="23"/>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Leeming</c:v>
                </c:pt>
                <c:pt idx="14">
                  <c:v>Munster</c:v>
                </c:pt>
                <c:pt idx="15">
                  <c:v>North Coogee</c:v>
                </c:pt>
                <c:pt idx="16">
                  <c:v>North Lake</c:v>
                </c:pt>
                <c:pt idx="17">
                  <c:v>South Lake</c:v>
                </c:pt>
                <c:pt idx="18">
                  <c:v>Spearwood</c:v>
                </c:pt>
                <c:pt idx="19">
                  <c:v>Success</c:v>
                </c:pt>
                <c:pt idx="20">
                  <c:v>Treeby</c:v>
                </c:pt>
                <c:pt idx="21">
                  <c:v>Wattleup</c:v>
                </c:pt>
                <c:pt idx="22">
                  <c:v>Yangebup</c:v>
                </c:pt>
              </c:strCache>
            </c:strRef>
          </c:cat>
          <c:val>
            <c:numRef>
              <c:f>SHEET1Report!$G$14051:$G$14073</c:f>
              <c:numCache>
                <c:formatCode>General</c:formatCode>
                <c:ptCount val="23"/>
                <c:pt idx="0">
                  <c:v>1203.6000000000001</c:v>
                </c:pt>
                <c:pt idx="3">
                  <c:v>179.95999999999998</c:v>
                </c:pt>
                <c:pt idx="4">
                  <c:v>614.12</c:v>
                </c:pt>
                <c:pt idx="5">
                  <c:v>629.17999999999995</c:v>
                </c:pt>
                <c:pt idx="6">
                  <c:v>53.44</c:v>
                </c:pt>
                <c:pt idx="7">
                  <c:v>1948.18</c:v>
                </c:pt>
                <c:pt idx="8">
                  <c:v>694.97000000000014</c:v>
                </c:pt>
                <c:pt idx="10">
                  <c:v>643.75</c:v>
                </c:pt>
                <c:pt idx="11">
                  <c:v>1088.73</c:v>
                </c:pt>
                <c:pt idx="15">
                  <c:v>1746.5</c:v>
                </c:pt>
                <c:pt idx="16">
                  <c:v>659.46</c:v>
                </c:pt>
                <c:pt idx="17">
                  <c:v>2339.3299999999995</c:v>
                </c:pt>
                <c:pt idx="18">
                  <c:v>697.6</c:v>
                </c:pt>
                <c:pt idx="19">
                  <c:v>1009.81</c:v>
                </c:pt>
                <c:pt idx="20">
                  <c:v>16.07</c:v>
                </c:pt>
                <c:pt idx="21">
                  <c:v>6513.579999999999</c:v>
                </c:pt>
                <c:pt idx="22">
                  <c:v>208.78</c:v>
                </c:pt>
              </c:numCache>
            </c:numRef>
          </c:val>
          <c:extLst>
            <c:ext xmlns:c16="http://schemas.microsoft.com/office/drawing/2014/chart" uri="{C3380CC4-5D6E-409C-BE32-E72D297353CC}">
              <c16:uniqueId val="{00000004-431F-475E-BC6D-AF1668F16B90}"/>
            </c:ext>
          </c:extLst>
        </c:ser>
        <c:dLbls>
          <c:showLegendKey val="0"/>
          <c:showVal val="0"/>
          <c:showCatName val="0"/>
          <c:showSerName val="0"/>
          <c:showPercent val="0"/>
          <c:showBubbleSize val="0"/>
        </c:dLbls>
        <c:gapWidth val="48"/>
        <c:shape val="box"/>
        <c:axId val="224251264"/>
        <c:axId val="225207424"/>
        <c:axId val="0"/>
      </c:bar3DChart>
      <c:catAx>
        <c:axId val="224251264"/>
        <c:scaling>
          <c:orientation val="minMax"/>
        </c:scaling>
        <c:delete val="0"/>
        <c:axPos val="l"/>
        <c:majorGridlines/>
        <c:minorGridlines>
          <c:spPr>
            <a:ln>
              <a:noFill/>
            </a:ln>
          </c:spPr>
        </c:minorGridlines>
        <c:numFmt formatCode="General" sourceLinked="1"/>
        <c:majorTickMark val="out"/>
        <c:minorTickMark val="none"/>
        <c:tickLblPos val="nextTo"/>
        <c:spPr>
          <a:ln w="9525" cap="flat" cmpd="sng">
            <a:solidFill>
              <a:schemeClr val="tx1">
                <a:lumMod val="85000"/>
                <a:lumOff val="15000"/>
              </a:schemeClr>
            </a:solidFill>
          </a:ln>
        </c:spPr>
        <c:txPr>
          <a:bodyPr/>
          <a:lstStyle/>
          <a:p>
            <a:pPr>
              <a:defRPr lang="en-US" sz="1050" u="none" baseline="0">
                <a:latin typeface="Arial Narrow"/>
                <a:ea typeface="Arial Narrow"/>
                <a:cs typeface="Arial Narrow"/>
              </a:defRPr>
            </a:pPr>
            <a:endParaRPr lang="en-US"/>
          </a:p>
        </c:txPr>
        <c:crossAx val="225207424"/>
        <c:crosses val="autoZero"/>
        <c:auto val="1"/>
        <c:lblAlgn val="ctr"/>
        <c:lblOffset val="100"/>
        <c:noMultiLvlLbl val="0"/>
      </c:catAx>
      <c:valAx>
        <c:axId val="225207424"/>
        <c:scaling>
          <c:orientation val="minMax"/>
        </c:scaling>
        <c:delete val="0"/>
        <c:axPos val="b"/>
        <c:majorGridlines/>
        <c:minorGridlines>
          <c:spPr>
            <a:ln>
              <a:noFill/>
            </a:ln>
          </c:spPr>
        </c:minorGridlines>
        <c:title>
          <c:tx>
            <c:rich>
              <a:bodyPr rot="0" vert="horz"/>
              <a:lstStyle/>
              <a:p>
                <a:pPr algn="ctr">
                  <a:defRPr/>
                </a:pPr>
                <a:r>
                  <a:rPr lang="en-US" u="none" baseline="0">
                    <a:solidFill>
                      <a:schemeClr val="tx1"/>
                    </a:solidFill>
                  </a:rPr>
                  <a:t>Surface area m2 ('000)</a:t>
                </a:r>
              </a:p>
            </c:rich>
          </c:tx>
          <c:overlay val="0"/>
          <c:spPr>
            <a:noFill/>
            <a:ln>
              <a:noFill/>
            </a:ln>
          </c:spPr>
        </c:title>
        <c:numFmt formatCode="#,##0" sourceLinked="0"/>
        <c:majorTickMark val="out"/>
        <c:minorTickMark val="none"/>
        <c:tickLblPos val="nextTo"/>
        <c:spPr>
          <a:ln w="9525" cap="flat" cmpd="sng">
            <a:solidFill>
              <a:schemeClr val="tx1">
                <a:lumMod val="85000"/>
                <a:lumOff val="15000"/>
              </a:schemeClr>
            </a:solidFill>
          </a:ln>
        </c:spPr>
        <c:crossAx val="224251264"/>
        <c:crosses val="autoZero"/>
        <c:crossBetween val="between"/>
        <c:dispUnits>
          <c:builtInUnit val="thousands"/>
        </c:dispUnits>
      </c:valAx>
    </c:plotArea>
    <c:legend>
      <c:legendPos val="b"/>
      <c:overlay val="0"/>
      <c:spPr>
        <a:solidFill>
          <a:schemeClr val="bg1"/>
        </a:solidFill>
      </c:sp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2"/>
          <c:order val="0"/>
          <c:tx>
            <c:v>Paths under 1.5m wide</c:v>
          </c:tx>
          <c:spPr>
            <a:solidFill>
              <a:srgbClr val="BC5908"/>
            </a:solidFill>
            <a:ln>
              <a:solidFill>
                <a:srgbClr val="F79646">
                  <a:lumMod val="50000"/>
                </a:srgbClr>
              </a:solidFill>
            </a:ln>
          </c:spPr>
          <c:invertIfNegative val="0"/>
          <c:cat>
            <c:strRef>
              <c:f>'m2 graph'!$B$3:$B$22</c:f>
              <c:strCache>
                <c:ptCount val="20"/>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pt idx="15">
                  <c:v>35/36</c:v>
                </c:pt>
                <c:pt idx="16">
                  <c:v>36/37</c:v>
                </c:pt>
                <c:pt idx="17">
                  <c:v>37/38</c:v>
                </c:pt>
                <c:pt idx="18">
                  <c:v>38/39</c:v>
                </c:pt>
                <c:pt idx="19">
                  <c:v>39/40</c:v>
                </c:pt>
              </c:strCache>
            </c:strRef>
          </c:cat>
          <c:val>
            <c:numRef>
              <c:f>'m2 graph'!$C$3:$C$12</c:f>
              <c:numCache>
                <c:formatCode>#,##0</c:formatCode>
                <c:ptCount val="10"/>
                <c:pt idx="0">
                  <c:v>4063.2400000000002</c:v>
                </c:pt>
                <c:pt idx="1">
                  <c:v>13725.459999999995</c:v>
                </c:pt>
                <c:pt idx="2">
                  <c:v>26142.800000000007</c:v>
                </c:pt>
                <c:pt idx="3">
                  <c:v>36325.490000000013</c:v>
                </c:pt>
                <c:pt idx="4">
                  <c:v>7631.5</c:v>
                </c:pt>
              </c:numCache>
            </c:numRef>
          </c:val>
          <c:extLst>
            <c:ext xmlns:c16="http://schemas.microsoft.com/office/drawing/2014/chart" uri="{C3380CC4-5D6E-409C-BE32-E72D297353CC}">
              <c16:uniqueId val="{00000000-C443-4627-BCD9-77F901937556}"/>
            </c:ext>
          </c:extLst>
        </c:ser>
        <c:ser>
          <c:idx val="0"/>
          <c:order val="1"/>
          <c:tx>
            <c:v>Roads</c:v>
          </c:tx>
          <c:spPr>
            <a:solidFill>
              <a:srgbClr val="4BACC6">
                <a:lumMod val="75000"/>
              </a:srgbClr>
            </a:solidFill>
            <a:ln>
              <a:solidFill>
                <a:srgbClr val="4BACC6">
                  <a:lumMod val="50000"/>
                </a:srgbClr>
              </a:solidFill>
            </a:ln>
          </c:spPr>
          <c:invertIfNegative val="0"/>
          <c:cat>
            <c:strRef>
              <c:f>'m2 graph'!$B$3:$B$22</c:f>
              <c:strCache>
                <c:ptCount val="20"/>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pt idx="15">
                  <c:v>35/36</c:v>
                </c:pt>
                <c:pt idx="16">
                  <c:v>36/37</c:v>
                </c:pt>
                <c:pt idx="17">
                  <c:v>37/38</c:v>
                </c:pt>
                <c:pt idx="18">
                  <c:v>38/39</c:v>
                </c:pt>
                <c:pt idx="19">
                  <c:v>39/40</c:v>
                </c:pt>
              </c:strCache>
            </c:strRef>
          </c:cat>
          <c:val>
            <c:numRef>
              <c:f>'m2 graph'!$E$3:$E$12</c:f>
              <c:numCache>
                <c:formatCode>#,##0</c:formatCode>
                <c:ptCount val="10"/>
                <c:pt idx="0">
                  <c:v>6059.2800000000007</c:v>
                </c:pt>
                <c:pt idx="1">
                  <c:v>2981.88</c:v>
                </c:pt>
                <c:pt idx="2">
                  <c:v>4278.62</c:v>
                </c:pt>
                <c:pt idx="3">
                  <c:v>1737.86</c:v>
                </c:pt>
                <c:pt idx="4">
                  <c:v>0</c:v>
                </c:pt>
                <c:pt idx="5">
                  <c:v>16.07</c:v>
                </c:pt>
                <c:pt idx="6">
                  <c:v>9013.4100000000017</c:v>
                </c:pt>
                <c:pt idx="7">
                  <c:v>18485.880000000005</c:v>
                </c:pt>
                <c:pt idx="8">
                  <c:v>14481.279999999997</c:v>
                </c:pt>
                <c:pt idx="9">
                  <c:v>9027.5</c:v>
                </c:pt>
              </c:numCache>
            </c:numRef>
          </c:val>
          <c:extLst>
            <c:ext xmlns:c16="http://schemas.microsoft.com/office/drawing/2014/chart" uri="{C3380CC4-5D6E-409C-BE32-E72D297353CC}">
              <c16:uniqueId val="{00000001-C443-4627-BCD9-77F901937556}"/>
            </c:ext>
          </c:extLst>
        </c:ser>
        <c:ser>
          <c:idx val="1"/>
          <c:order val="2"/>
          <c:tx>
            <c:v>Parks</c:v>
          </c:tx>
          <c:spPr>
            <a:solidFill>
              <a:srgbClr val="9BBB59">
                <a:lumMod val="75000"/>
              </a:srgbClr>
            </a:solidFill>
            <a:ln>
              <a:solidFill>
                <a:srgbClr val="9BBB59">
                  <a:lumMod val="50000"/>
                </a:srgbClr>
              </a:solidFill>
            </a:ln>
          </c:spPr>
          <c:invertIfNegative val="0"/>
          <c:cat>
            <c:strRef>
              <c:f>'m2 graph'!$B$3:$B$22</c:f>
              <c:strCache>
                <c:ptCount val="20"/>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pt idx="15">
                  <c:v>35/36</c:v>
                </c:pt>
                <c:pt idx="16">
                  <c:v>36/37</c:v>
                </c:pt>
                <c:pt idx="17">
                  <c:v>37/38</c:v>
                </c:pt>
                <c:pt idx="18">
                  <c:v>38/39</c:v>
                </c:pt>
                <c:pt idx="19">
                  <c:v>39/40</c:v>
                </c:pt>
              </c:strCache>
            </c:strRef>
          </c:cat>
          <c:val>
            <c:numRef>
              <c:f>'m2 graph'!$F$3:$F$12</c:f>
              <c:numCache>
                <c:formatCode>#,##0</c:formatCode>
                <c:ptCount val="10"/>
                <c:pt idx="0">
                  <c:v>0</c:v>
                </c:pt>
                <c:pt idx="1">
                  <c:v>295.68000000000012</c:v>
                </c:pt>
                <c:pt idx="2">
                  <c:v>1718.3200000000002</c:v>
                </c:pt>
                <c:pt idx="3">
                  <c:v>1746.5</c:v>
                </c:pt>
                <c:pt idx="4">
                  <c:v>0</c:v>
                </c:pt>
                <c:pt idx="5">
                  <c:v>0</c:v>
                </c:pt>
                <c:pt idx="6">
                  <c:v>933.7</c:v>
                </c:pt>
                <c:pt idx="7">
                  <c:v>7382.91</c:v>
                </c:pt>
                <c:pt idx="8">
                  <c:v>5012.3499999999985</c:v>
                </c:pt>
                <c:pt idx="9">
                  <c:v>7939.2200000000012</c:v>
                </c:pt>
              </c:numCache>
            </c:numRef>
          </c:val>
          <c:extLst>
            <c:ext xmlns:c16="http://schemas.microsoft.com/office/drawing/2014/chart" uri="{C3380CC4-5D6E-409C-BE32-E72D297353CC}">
              <c16:uniqueId val="{00000002-C443-4627-BCD9-77F901937556}"/>
            </c:ext>
          </c:extLst>
        </c:ser>
        <c:dLbls>
          <c:showLegendKey val="0"/>
          <c:showVal val="0"/>
          <c:showCatName val="0"/>
          <c:showSerName val="0"/>
          <c:showPercent val="0"/>
          <c:showBubbleSize val="0"/>
        </c:dLbls>
        <c:gapWidth val="19"/>
        <c:overlap val="100"/>
        <c:axId val="147801216"/>
        <c:axId val="147802752"/>
      </c:barChart>
      <c:catAx>
        <c:axId val="14780121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47802752"/>
        <c:crosses val="autoZero"/>
        <c:auto val="1"/>
        <c:lblAlgn val="ctr"/>
        <c:lblOffset val="100"/>
        <c:noMultiLvlLbl val="0"/>
      </c:catAx>
      <c:valAx>
        <c:axId val="147802752"/>
        <c:scaling>
          <c:orientation val="minMax"/>
        </c:scaling>
        <c:delete val="0"/>
        <c:axPos val="l"/>
        <c:majorGridlines/>
        <c:title>
          <c:tx>
            <c:rich>
              <a:bodyPr rot="-5400000" vert="horz"/>
              <a:lstStyle/>
              <a:p>
                <a:pPr>
                  <a:defRPr/>
                </a:pPr>
                <a:r>
                  <a:rPr lang="en-US"/>
                  <a:t>Footpath area to be renewed m2</a:t>
                </a:r>
              </a:p>
            </c:rich>
          </c:tx>
          <c:overlay val="0"/>
        </c:title>
        <c:numFmt formatCode="#,##0" sourceLinked="0"/>
        <c:majorTickMark val="out"/>
        <c:minorTickMark val="none"/>
        <c:tickLblPos val="nextTo"/>
        <c:crossAx val="147801216"/>
        <c:crosses val="autoZero"/>
        <c:crossBetween val="between"/>
      </c:valAx>
      <c:spPr>
        <a:solidFill>
          <a:sysClr val="window" lastClr="FFFFFF"/>
        </a:solidFill>
        <a:ln>
          <a:solidFill>
            <a:schemeClr val="tx1">
              <a:lumMod val="50000"/>
              <a:lumOff val="50000"/>
            </a:schemeClr>
          </a:solidFill>
        </a:ln>
      </c:spPr>
    </c:plotArea>
    <c:legend>
      <c:legendPos val="b"/>
      <c:overlay val="0"/>
      <c:spPr>
        <a:solidFill>
          <a:schemeClr val="bg1">
            <a:lumMod val="95000"/>
          </a:schemeClr>
        </a:solidFill>
        <a:ln>
          <a:solidFill>
            <a:sysClr val="windowText" lastClr="000000">
              <a:lumMod val="50000"/>
              <a:lumOff val="50000"/>
            </a:sysClr>
          </a:solidFill>
        </a:ln>
      </c:spPr>
    </c:legend>
    <c:plotVisOnly val="1"/>
    <c:dispBlanksAs val="zero"/>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bar3DChart>
        <c:barDir val="col"/>
        <c:grouping val="stacked"/>
        <c:varyColors val="0"/>
        <c:ser>
          <c:idx val="2"/>
          <c:order val="0"/>
          <c:tx>
            <c:v>Total ops &amp; maintenance expenditure</c:v>
          </c:tx>
          <c:spPr>
            <a:solidFill>
              <a:srgbClr val="4BACC6">
                <a:lumMod val="50000"/>
              </a:srgbClr>
            </a:solidFill>
            <a:ln w="9525" cap="flat" cmpd="sng">
              <a:solidFill>
                <a:srgbClr val="215968"/>
              </a:solidFill>
            </a:ln>
          </c:spPr>
          <c:invertIfNegative val="0"/>
          <c:dLbls>
            <c:spPr>
              <a:noFill/>
            </c:spPr>
            <c:txPr>
              <a:bodyPr rot="0" vert="horz"/>
              <a:lstStyle/>
              <a:p>
                <a:pPr algn="ctr">
                  <a:defRPr lang="en-US" sz="1000" u="none" baseline="0">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SHEET1Report!$C$14244:$C$14253</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SHEET1Report!$G$14244:$G$14253</c:f>
              <c:numCache>
                <c:formatCode>"$"#,##0</c:formatCode>
                <c:ptCount val="10"/>
                <c:pt idx="0">
                  <c:v>1097031.4577185092</c:v>
                </c:pt>
                <c:pt idx="1">
                  <c:v>1133078.8897093192</c:v>
                </c:pt>
                <c:pt idx="2">
                  <c:v>1170129.406396674</c:v>
                </c:pt>
                <c:pt idx="3">
                  <c:v>1208208.7121956397</c:v>
                </c:pt>
                <c:pt idx="4">
                  <c:v>1247343.1384640052</c:v>
                </c:pt>
                <c:pt idx="5">
                  <c:v>1287559.658298227</c:v>
                </c:pt>
                <c:pt idx="6">
                  <c:v>1328885.9016704317</c:v>
                </c:pt>
                <c:pt idx="7">
                  <c:v>1371350.170914206</c:v>
                </c:pt>
                <c:pt idx="8">
                  <c:v>1414981.4565670625</c:v>
                </c:pt>
                <c:pt idx="9">
                  <c:v>1459809.4535776679</c:v>
                </c:pt>
              </c:numCache>
            </c:numRef>
          </c:val>
          <c:extLst>
            <c:ext xmlns:c16="http://schemas.microsoft.com/office/drawing/2014/chart" uri="{C3380CC4-5D6E-409C-BE32-E72D297353CC}">
              <c16:uniqueId val="{00000000-3969-4C2B-9DE5-65EFB49A2011}"/>
            </c:ext>
          </c:extLst>
        </c:ser>
        <c:ser>
          <c:idx val="1"/>
          <c:order val="1"/>
          <c:tx>
            <c:v>Projected renewal expenditure</c:v>
          </c:tx>
          <c:spPr>
            <a:gradFill rotWithShape="1">
              <a:gsLst>
                <a:gs pos="0">
                  <a:srgbClr val="4BACC6">
                    <a:lumMod val="50000"/>
                  </a:srgbClr>
                </a:gs>
                <a:gs pos="29000">
                  <a:srgbClr val="4BACC6">
                    <a:lumMod val="75000"/>
                  </a:srgbClr>
                </a:gs>
                <a:gs pos="100000">
                  <a:srgbClr val="4BACC6">
                    <a:lumMod val="20000"/>
                    <a:lumOff val="80000"/>
                  </a:srgbClr>
                </a:gs>
              </a:gsLst>
              <a:lin ang="5400000" scaled="1"/>
            </a:gradFill>
            <a:ln w="9525" cap="flat" cmpd="sng">
              <a:solidFill>
                <a:srgbClr val="215968"/>
              </a:solidFill>
            </a:ln>
          </c:spPr>
          <c:invertIfNegative val="0"/>
          <c:dLbls>
            <c:spPr>
              <a:ln w="9525">
                <a:noFill/>
              </a:ln>
            </c:spPr>
            <c:txPr>
              <a:bodyPr rot="0" vert="horz"/>
              <a:lstStyle/>
              <a:p>
                <a:pPr algn="ctr">
                  <a:defRPr lang="en-US" sz="1000" u="none" baseline="0">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SHEET1Report!$C$14244:$C$14253</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SHEET1Report!$M$14244:$M$14253</c:f>
              <c:numCache>
                <c:formatCode>"$"#,##0</c:formatCode>
                <c:ptCount val="10"/>
                <c:pt idx="0">
                  <c:v>474599.88</c:v>
                </c:pt>
                <c:pt idx="1">
                  <c:v>1185624.0259199999</c:v>
                </c:pt>
                <c:pt idx="2">
                  <c:v>1314468.920653776</c:v>
                </c:pt>
                <c:pt idx="3">
                  <c:v>1217346.0560616802</c:v>
                </c:pt>
                <c:pt idx="4">
                  <c:v>2024907.4838303498</c:v>
                </c:pt>
                <c:pt idx="5">
                  <c:v>1092426.1806069247</c:v>
                </c:pt>
                <c:pt idx="6">
                  <c:v>1087262.1432234806</c:v>
                </c:pt>
                <c:pt idx="7">
                  <c:v>1136530.6311128559</c:v>
                </c:pt>
                <c:pt idx="8">
                  <c:v>1219313.4249357327</c:v>
                </c:pt>
                <c:pt idx="9">
                  <c:v>1307457.4343090761</c:v>
                </c:pt>
              </c:numCache>
            </c:numRef>
          </c:val>
          <c:extLst>
            <c:ext xmlns:c16="http://schemas.microsoft.com/office/drawing/2014/chart" uri="{C3380CC4-5D6E-409C-BE32-E72D297353CC}">
              <c16:uniqueId val="{00000001-3969-4C2B-9DE5-65EFB49A2011}"/>
            </c:ext>
          </c:extLst>
        </c:ser>
        <c:ser>
          <c:idx val="0"/>
          <c:order val="2"/>
          <c:tx>
            <c:v>CW program (new &amp; upgrade)</c:v>
          </c:tx>
          <c:spPr>
            <a:gradFill rotWithShape="1">
              <a:gsLst>
                <a:gs pos="0">
                  <a:srgbClr val="4F81BD">
                    <a:lumMod val="20000"/>
                    <a:lumOff val="80000"/>
                  </a:srgbClr>
                </a:gs>
                <a:gs pos="94600">
                  <a:srgbClr val="9BBB59">
                    <a:lumMod val="20000"/>
                    <a:lumOff val="80000"/>
                  </a:srgbClr>
                </a:gs>
                <a:gs pos="46000">
                  <a:srgbClr val="9BBB59">
                    <a:lumMod val="60000"/>
                    <a:lumOff val="40000"/>
                  </a:srgbClr>
                </a:gs>
                <a:gs pos="0">
                  <a:srgbClr val="9BBB59">
                    <a:lumMod val="50000"/>
                  </a:srgbClr>
                </a:gs>
              </a:gsLst>
              <a:lin ang="16200000" scaled="1"/>
              <a:tileRect/>
            </a:gradFill>
            <a:ln w="9525" cap="flat" cmpd="sng">
              <a:solidFill>
                <a:srgbClr val="4F6228"/>
              </a:solidFill>
            </a:ln>
          </c:spPr>
          <c:invertIfNegative val="0"/>
          <c:dLbls>
            <c:spPr>
              <a:noFill/>
              <a:ln>
                <a:noFill/>
              </a:ln>
              <a:effectLst/>
            </c:spPr>
            <c:txPr>
              <a:bodyPr rot="0" vert="horz"/>
              <a:lstStyle/>
              <a:p>
                <a:pPr algn="ctr">
                  <a:defRPr lang="en-US" sz="1000" u="none" baseline="0">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SHEET1Report!$C$14244:$C$14253</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SHEET1Report!$L$14244:$L$14253</c:f>
              <c:numCache>
                <c:formatCode>"$"#,##0</c:formatCode>
                <c:ptCount val="10"/>
                <c:pt idx="0">
                  <c:v>1325756.22</c:v>
                </c:pt>
                <c:pt idx="1">
                  <c:v>1352271.3444000001</c:v>
                </c:pt>
                <c:pt idx="2">
                  <c:v>1379316.7712879998</c:v>
                </c:pt>
                <c:pt idx="3">
                  <c:v>1406903.1067137599</c:v>
                </c:pt>
                <c:pt idx="4">
                  <c:v>1435041.1688480352</c:v>
                </c:pt>
                <c:pt idx="5">
                  <c:v>1463741.992224996</c:v>
                </c:pt>
                <c:pt idx="6">
                  <c:v>1493016.8320694957</c:v>
                </c:pt>
                <c:pt idx="7">
                  <c:v>1522877.1687108856</c:v>
                </c:pt>
                <c:pt idx="8">
                  <c:v>1553334.7120851034</c:v>
                </c:pt>
                <c:pt idx="9">
                  <c:v>1584401.4063268055</c:v>
                </c:pt>
              </c:numCache>
            </c:numRef>
          </c:val>
          <c:extLst>
            <c:ext xmlns:c16="http://schemas.microsoft.com/office/drawing/2014/chart" uri="{C3380CC4-5D6E-409C-BE32-E72D297353CC}">
              <c16:uniqueId val="{00000002-3969-4C2B-9DE5-65EFB49A2011}"/>
            </c:ext>
          </c:extLst>
        </c:ser>
        <c:dLbls>
          <c:showLegendKey val="0"/>
          <c:showVal val="0"/>
          <c:showCatName val="0"/>
          <c:showSerName val="0"/>
          <c:showPercent val="0"/>
          <c:showBubbleSize val="0"/>
        </c:dLbls>
        <c:gapWidth val="50"/>
        <c:shape val="box"/>
        <c:axId val="147841792"/>
        <c:axId val="147843328"/>
        <c:axId val="0"/>
      </c:bar3DChart>
      <c:catAx>
        <c:axId val="147841792"/>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w="9525" cap="flat" cmpd="sng"/>
        </c:spPr>
        <c:crossAx val="147843328"/>
        <c:crosses val="autoZero"/>
        <c:auto val="1"/>
        <c:lblAlgn val="ctr"/>
        <c:lblOffset val="100"/>
        <c:noMultiLvlLbl val="0"/>
      </c:catAx>
      <c:valAx>
        <c:axId val="147843328"/>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147841792"/>
        <c:crosses val="autoZero"/>
        <c:crossBetween val="between"/>
        <c:dispUnits>
          <c:builtInUnit val="thousands"/>
        </c:dispUnits>
      </c:valAx>
    </c:plotArea>
    <c:legend>
      <c:legendPos val="b"/>
      <c:layout>
        <c:manualLayout>
          <c:xMode val="edge"/>
          <c:yMode val="edge"/>
          <c:x val="0.1065"/>
          <c:y val="0.86075000000000002"/>
          <c:w val="0.86599999999999999"/>
          <c:h val="0.12"/>
        </c:manualLayout>
      </c:layout>
      <c:overlay val="0"/>
      <c:spPr>
        <a:solidFill>
          <a:schemeClr val="bg1">
            <a:lumMod val="95000"/>
          </a:schemeClr>
        </a:solidFill>
        <a:ln w="9525" cap="flat" cmpd="sng">
          <a:solidFill>
            <a:srgbClr val="A6A6A6"/>
          </a:solidFill>
        </a:ln>
      </c:spPr>
    </c:legend>
    <c:plotVisOnly val="1"/>
    <c:dispBlanksAs val="gap"/>
    <c:showDLblsOverMax val="0"/>
  </c:chart>
  <c:spPr>
    <a:solidFill>
      <a:srgbClr val="000000">
        <a:lumMod val="50000"/>
        <a:lumOff val="50000"/>
      </a:srgb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v>Projected renewals inc. 2%</c:v>
          </c:tx>
          <c:spPr>
            <a:gradFill>
              <a:gsLst>
                <a:gs pos="0">
                  <a:schemeClr val="accent5">
                    <a:lumMod val="50000"/>
                  </a:schemeClr>
                </a:gs>
                <a:gs pos="30384">
                  <a:schemeClr val="accent5">
                    <a:lumMod val="75000"/>
                  </a:schemeClr>
                </a:gs>
                <a:gs pos="72000">
                  <a:schemeClr val="accent5">
                    <a:lumMod val="60000"/>
                    <a:lumOff val="40000"/>
                  </a:schemeClr>
                </a:gs>
                <a:gs pos="100000">
                  <a:schemeClr val="accent5">
                    <a:lumMod val="20000"/>
                    <a:lumOff val="80000"/>
                  </a:schemeClr>
                </a:gs>
              </a:gsLst>
              <a:lin ang="16200000" scaled="1"/>
            </a:gradFill>
            <a:ln>
              <a:solidFill>
                <a:schemeClr val="accent5">
                  <a:lumMod val="50000"/>
                </a:schemeClr>
              </a:solidFill>
            </a:ln>
          </c:spPr>
          <c:cat>
            <c:strRef>
              <c:f>'CRC Graph'!$B$3:$B$22</c:f>
              <c:strCache>
                <c:ptCount val="20"/>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pt idx="15">
                  <c:v>35/36</c:v>
                </c:pt>
                <c:pt idx="16">
                  <c:v>36/37</c:v>
                </c:pt>
                <c:pt idx="17">
                  <c:v>37/38</c:v>
                </c:pt>
                <c:pt idx="18">
                  <c:v>38/39</c:v>
                </c:pt>
                <c:pt idx="19">
                  <c:v>39/40</c:v>
                </c:pt>
              </c:strCache>
            </c:strRef>
          </c:cat>
          <c:val>
            <c:numRef>
              <c:f>'CRC Graph'!$F$3:$F$12</c:f>
              <c:numCache>
                <c:formatCode>"$"#,##0</c:formatCode>
                <c:ptCount val="10"/>
                <c:pt idx="0">
                  <c:v>620135.06099999999</c:v>
                </c:pt>
                <c:pt idx="1">
                  <c:v>1124278.4525400002</c:v>
                </c:pt>
                <c:pt idx="2">
                  <c:v>2091413.4237806401</c:v>
                </c:pt>
                <c:pt idx="3">
                  <c:v>2663081.9406464105</c:v>
                </c:pt>
                <c:pt idx="4">
                  <c:v>547676.522225352</c:v>
                </c:pt>
                <c:pt idx="5">
                  <c:v>1176.3329550422113</c:v>
                </c:pt>
                <c:pt idx="6">
                  <c:v>678808.3288405023</c:v>
                </c:pt>
                <c:pt idx="7">
                  <c:v>1467592.784032702</c:v>
                </c:pt>
                <c:pt idx="8">
                  <c:v>1048149.6989269896</c:v>
                </c:pt>
                <c:pt idx="9">
                  <c:v>1101083.0401397361</c:v>
                </c:pt>
              </c:numCache>
            </c:numRef>
          </c:val>
          <c:extLst>
            <c:ext xmlns:c16="http://schemas.microsoft.com/office/drawing/2014/chart" uri="{C3380CC4-5D6E-409C-BE32-E72D297353CC}">
              <c16:uniqueId val="{00000000-BC38-4DDF-91CC-AF607D4E6FAA}"/>
            </c:ext>
          </c:extLst>
        </c:ser>
        <c:dLbls>
          <c:showLegendKey val="0"/>
          <c:showVal val="0"/>
          <c:showCatName val="0"/>
          <c:showSerName val="0"/>
          <c:showPercent val="0"/>
          <c:showBubbleSize val="0"/>
        </c:dLbls>
        <c:axId val="148039552"/>
        <c:axId val="148041088"/>
      </c:areaChart>
      <c:lineChart>
        <c:grouping val="standard"/>
        <c:varyColors val="0"/>
        <c:ser>
          <c:idx val="2"/>
          <c:order val="1"/>
          <c:tx>
            <c:v>Projected depreciation expense inc.2%</c:v>
          </c:tx>
          <c:spPr>
            <a:ln w="44450">
              <a:solidFill>
                <a:srgbClr val="FFFF00"/>
              </a:solidFill>
            </a:ln>
          </c:spPr>
          <c:marker>
            <c:symbol val="none"/>
          </c:marker>
          <c:cat>
            <c:numRef>
              <c:f>'CRC Graph'!$I$3:$I$12</c:f>
              <c:numCache>
                <c:formatCode>_("$"* #,##0.00_);_("$"* \(#,##0.00\);_("$"* "-"??_);_(@_)</c:formatCode>
                <c:ptCount val="10"/>
                <c:pt idx="0">
                  <c:v>527114.80184999993</c:v>
                </c:pt>
                <c:pt idx="1">
                  <c:v>1011850.6072860002</c:v>
                </c:pt>
                <c:pt idx="2">
                  <c:v>1986842.7525916081</c:v>
                </c:pt>
                <c:pt idx="3" formatCode="&quot;$&quot;#,##0">
                  <c:v>2663081.9406464105</c:v>
                </c:pt>
                <c:pt idx="4" formatCode="&quot;$&quot;#,##0">
                  <c:v>547676.522225352</c:v>
                </c:pt>
                <c:pt idx="5" formatCode="&quot;$&quot;#,##0">
                  <c:v>1176.3329550422113</c:v>
                </c:pt>
                <c:pt idx="6" formatCode="&quot;$&quot;#,##0">
                  <c:v>678808.3288405023</c:v>
                </c:pt>
                <c:pt idx="7" formatCode="&quot;$&quot;#,##0">
                  <c:v>1467592.784032702</c:v>
                </c:pt>
                <c:pt idx="8" formatCode="&quot;$&quot;#,##0">
                  <c:v>1048149.6989269896</c:v>
                </c:pt>
                <c:pt idx="9" formatCode="&quot;$&quot;#,##0">
                  <c:v>1101083.0401397361</c:v>
                </c:pt>
              </c:numCache>
            </c:numRef>
          </c:cat>
          <c:val>
            <c:numRef>
              <c:f>'CRC Graph'!$H$3:$H$12</c:f>
              <c:numCache>
                <c:formatCode>"$"#,##0</c:formatCode>
                <c:ptCount val="10"/>
                <c:pt idx="0">
                  <c:v>1809574.5393074558</c:v>
                </c:pt>
                <c:pt idx="1">
                  <c:v>1845766.0300936047</c:v>
                </c:pt>
                <c:pt idx="2">
                  <c:v>1882681.3506954766</c:v>
                </c:pt>
                <c:pt idx="3">
                  <c:v>1920334.9777093863</c:v>
                </c:pt>
                <c:pt idx="4">
                  <c:v>1958741.6772635742</c:v>
                </c:pt>
                <c:pt idx="5">
                  <c:v>1997916.5108088457</c:v>
                </c:pt>
                <c:pt idx="6">
                  <c:v>2037874.8410250221</c:v>
                </c:pt>
                <c:pt idx="7">
                  <c:v>2078632.3378455229</c:v>
                </c:pt>
                <c:pt idx="8">
                  <c:v>2120204.9846024332</c:v>
                </c:pt>
                <c:pt idx="9">
                  <c:v>2162609.0842944821</c:v>
                </c:pt>
              </c:numCache>
            </c:numRef>
          </c:val>
          <c:smooth val="0"/>
          <c:extLst>
            <c:ext xmlns:c16="http://schemas.microsoft.com/office/drawing/2014/chart" uri="{C3380CC4-5D6E-409C-BE32-E72D297353CC}">
              <c16:uniqueId val="{00000001-BC38-4DDF-91CC-AF607D4E6FAA}"/>
            </c:ext>
          </c:extLst>
        </c:ser>
        <c:ser>
          <c:idx val="3"/>
          <c:order val="2"/>
          <c:tx>
            <c:v>Proposed budget allocation from LTFP</c:v>
          </c:tx>
          <c:spPr>
            <a:ln w="44450">
              <a:solidFill>
                <a:srgbClr val="FF0000"/>
              </a:solidFill>
            </a:ln>
          </c:spPr>
          <c:marker>
            <c:symbol val="none"/>
          </c:marker>
          <c:cat>
            <c:numRef>
              <c:f>'CRC Graph'!$I$3:$I$12</c:f>
              <c:numCache>
                <c:formatCode>_("$"* #,##0.00_);_("$"* \(#,##0.00\);_("$"* "-"??_);_(@_)</c:formatCode>
                <c:ptCount val="10"/>
                <c:pt idx="0">
                  <c:v>527114.80184999993</c:v>
                </c:pt>
                <c:pt idx="1">
                  <c:v>1011850.6072860002</c:v>
                </c:pt>
                <c:pt idx="2">
                  <c:v>1986842.7525916081</c:v>
                </c:pt>
                <c:pt idx="3" formatCode="&quot;$&quot;#,##0">
                  <c:v>2663081.9406464105</c:v>
                </c:pt>
                <c:pt idx="4" formatCode="&quot;$&quot;#,##0">
                  <c:v>547676.522225352</c:v>
                </c:pt>
                <c:pt idx="5" formatCode="&quot;$&quot;#,##0">
                  <c:v>1176.3329550422113</c:v>
                </c:pt>
                <c:pt idx="6" formatCode="&quot;$&quot;#,##0">
                  <c:v>678808.3288405023</c:v>
                </c:pt>
                <c:pt idx="7" formatCode="&quot;$&quot;#,##0">
                  <c:v>1467592.784032702</c:v>
                </c:pt>
                <c:pt idx="8" formatCode="&quot;$&quot;#,##0">
                  <c:v>1048149.6989269896</c:v>
                </c:pt>
                <c:pt idx="9" formatCode="&quot;$&quot;#,##0">
                  <c:v>1101083.0401397361</c:v>
                </c:pt>
              </c:numCache>
            </c:numRef>
          </c:cat>
          <c:val>
            <c:numRef>
              <c:f>'CRC Graph'!$I$3:$I$12</c:f>
              <c:numCache>
                <c:formatCode>_("$"* #,##0.00_);_("$"* \(#,##0.00\);_("$"* "-"??_);_(@_)</c:formatCode>
                <c:ptCount val="10"/>
                <c:pt idx="0">
                  <c:v>527114.80184999993</c:v>
                </c:pt>
                <c:pt idx="1">
                  <c:v>1011850.6072860002</c:v>
                </c:pt>
                <c:pt idx="2">
                  <c:v>1986842.7525916081</c:v>
                </c:pt>
                <c:pt idx="3" formatCode="&quot;$&quot;#,##0">
                  <c:v>2663081.9406464105</c:v>
                </c:pt>
                <c:pt idx="4" formatCode="&quot;$&quot;#,##0">
                  <c:v>547676.522225352</c:v>
                </c:pt>
                <c:pt idx="5" formatCode="&quot;$&quot;#,##0">
                  <c:v>1176.3329550422113</c:v>
                </c:pt>
                <c:pt idx="6" formatCode="&quot;$&quot;#,##0">
                  <c:v>678808.3288405023</c:v>
                </c:pt>
                <c:pt idx="7" formatCode="&quot;$&quot;#,##0">
                  <c:v>1467592.784032702</c:v>
                </c:pt>
                <c:pt idx="8" formatCode="&quot;$&quot;#,##0">
                  <c:v>1048149.6989269896</c:v>
                </c:pt>
                <c:pt idx="9" formatCode="&quot;$&quot;#,##0">
                  <c:v>1101083.0401397361</c:v>
                </c:pt>
              </c:numCache>
            </c:numRef>
          </c:val>
          <c:smooth val="0"/>
          <c:extLst>
            <c:ext xmlns:c16="http://schemas.microsoft.com/office/drawing/2014/chart" uri="{C3380CC4-5D6E-409C-BE32-E72D297353CC}">
              <c16:uniqueId val="{00000002-BC38-4DDF-91CC-AF607D4E6FAA}"/>
            </c:ext>
          </c:extLst>
        </c:ser>
        <c:dLbls>
          <c:showLegendKey val="0"/>
          <c:showVal val="0"/>
          <c:showCatName val="0"/>
          <c:showSerName val="0"/>
          <c:showPercent val="0"/>
          <c:showBubbleSize val="0"/>
        </c:dLbls>
        <c:marker val="1"/>
        <c:smooth val="0"/>
        <c:axId val="148039552"/>
        <c:axId val="148041088"/>
      </c:lineChart>
      <c:catAx>
        <c:axId val="148039552"/>
        <c:scaling>
          <c:orientation val="minMax"/>
        </c:scaling>
        <c:delete val="0"/>
        <c:axPos val="b"/>
        <c:numFmt formatCode="General" sourceLinked="1"/>
        <c:majorTickMark val="out"/>
        <c:minorTickMark val="none"/>
        <c:tickLblPos val="nextTo"/>
        <c:spPr>
          <a:ln>
            <a:solidFill>
              <a:srgbClr val="4BACC6">
                <a:lumMod val="50000"/>
              </a:srgbClr>
            </a:solidFill>
          </a:ln>
        </c:spPr>
        <c:txPr>
          <a:bodyPr rot="0" vert="horz"/>
          <a:lstStyle/>
          <a:p>
            <a:pPr>
              <a:defRPr/>
            </a:pPr>
            <a:endParaRPr lang="en-US"/>
          </a:p>
        </c:txPr>
        <c:crossAx val="148041088"/>
        <c:crosses val="autoZero"/>
        <c:auto val="1"/>
        <c:lblAlgn val="ctr"/>
        <c:lblOffset val="100"/>
        <c:noMultiLvlLbl val="0"/>
      </c:catAx>
      <c:valAx>
        <c:axId val="148041088"/>
        <c:scaling>
          <c:orientation val="minMax"/>
        </c:scaling>
        <c:delete val="0"/>
        <c:axPos val="l"/>
        <c:majorGridlines/>
        <c:title>
          <c:tx>
            <c:rich>
              <a:bodyPr rot="-5400000" vert="horz"/>
              <a:lstStyle/>
              <a:p>
                <a:pPr>
                  <a:defRPr/>
                </a:pPr>
                <a:r>
                  <a:rPr lang="en-US"/>
                  <a:t>Current</a:t>
                </a:r>
                <a:r>
                  <a:rPr lang="en-US" baseline="0"/>
                  <a:t> replacement</a:t>
                </a:r>
                <a:r>
                  <a:rPr lang="en-US"/>
                  <a:t> costs ($'000)</a:t>
                </a:r>
              </a:p>
            </c:rich>
          </c:tx>
          <c:overlay val="0"/>
        </c:title>
        <c:numFmt formatCode="&quot;$&quot;#,##0" sourceLinked="0"/>
        <c:majorTickMark val="out"/>
        <c:minorTickMark val="none"/>
        <c:tickLblPos val="nextTo"/>
        <c:crossAx val="148039552"/>
        <c:crosses val="autoZero"/>
        <c:crossBetween val="midCat"/>
        <c:dispUnits>
          <c:builtInUnit val="thousands"/>
        </c:dispUnits>
      </c:valAx>
      <c:spPr>
        <a:solidFill>
          <a:schemeClr val="bg1"/>
        </a:solidFill>
        <a:ln>
          <a:solidFill>
            <a:schemeClr val="bg1">
              <a:lumMod val="50000"/>
            </a:schemeClr>
          </a:solidFill>
        </a:ln>
      </c:spPr>
    </c:plotArea>
    <c:legend>
      <c:legendPos val="b"/>
      <c:layout>
        <c:manualLayout>
          <c:xMode val="edge"/>
          <c:yMode val="edge"/>
          <c:x val="7.5289566836239594E-2"/>
          <c:y val="0.86498534024710327"/>
          <c:w val="0.8838454808533549"/>
          <c:h val="0.11912195121951218"/>
        </c:manualLayout>
      </c:layout>
      <c:overlay val="0"/>
      <c:spPr>
        <a:solidFill>
          <a:schemeClr val="bg1"/>
        </a:solidFill>
        <a:ln>
          <a:solidFill>
            <a:schemeClr val="bg1">
              <a:lumMod val="75000"/>
            </a:schemeClr>
          </a:solidFill>
        </a:ln>
      </c:spPr>
      <c:txPr>
        <a:bodyPr/>
        <a:lstStyle/>
        <a:p>
          <a:pPr>
            <a:defRPr sz="1200"/>
          </a:pPr>
          <a:endParaRPr lang="en-US"/>
        </a:p>
      </c:txPr>
    </c:legend>
    <c:plotVisOnly val="1"/>
    <c:dispBlanksAs val="gap"/>
    <c:showDLblsOverMax val="0"/>
  </c:chart>
  <c:spPr>
    <a:solidFill>
      <a:schemeClr val="tx1">
        <a:lumMod val="50000"/>
        <a:lumOff val="50000"/>
      </a:schemeClr>
    </a:solidFill>
  </c:spPr>
  <c:txPr>
    <a:bodyPr/>
    <a:lstStyle/>
    <a:p>
      <a:pPr>
        <a:defRPr sz="1200">
          <a:latin typeface="Arial Narrow"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v>WDV</c:v>
          </c:tx>
          <c:spPr>
            <a:gradFill rotWithShape="1">
              <a:gsLst>
                <a:gs pos="0">
                  <a:schemeClr val="accent5">
                    <a:lumMod val="50000"/>
                  </a:schemeClr>
                </a:gs>
                <a:gs pos="29000">
                  <a:schemeClr val="accent5">
                    <a:lumMod val="75000"/>
                  </a:schemeClr>
                </a:gs>
                <a:gs pos="66000">
                  <a:srgbClr val="89B7C9"/>
                </a:gs>
                <a:gs pos="100000">
                  <a:schemeClr val="accent5">
                    <a:lumMod val="20000"/>
                    <a:lumOff val="80000"/>
                  </a:schemeClr>
                </a:gs>
              </a:gsLst>
              <a:lin ang="16200000" scaled="1"/>
              <a:tileRect/>
            </a:gradFill>
            <a:ln w="25400">
              <a:noFill/>
            </a:ln>
          </c:spPr>
          <c:dLbls>
            <c:spPr>
              <a:noFill/>
              <a:ln>
                <a:noFill/>
              </a:ln>
              <a:effectLst/>
            </c:spPr>
            <c:txPr>
              <a:bodyPr rot="0" vert="horz"/>
              <a:lstStyle/>
              <a:p>
                <a:pPr algn="ctr">
                  <a:defRPr lang="en-US" sz="1200" b="1" u="none" baseline="0">
                    <a:latin typeface="Arial Narrow"/>
                    <a:ea typeface="Arial Narrow"/>
                    <a:cs typeface="Arial Narrow"/>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SHEET1Report!$C$14193:$C$14202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SHEET1Report!$K$14193:$K$14202</c:f>
              <c:numCache>
                <c:formatCode>"$"#,##0_);[Red]\("$"#,##0\)</c:formatCode>
                <c:ptCount val="10"/>
                <c:pt idx="0">
                  <c:v>61786470.820000038</c:v>
                </c:pt>
                <c:pt idx="1">
                  <c:v>59868433.212844476</c:v>
                </c:pt>
                <c:pt idx="2">
                  <c:v>59584003.397802696</c:v>
                </c:pt>
                <c:pt idx="3">
                  <c:v>59847218.762602098</c:v>
                </c:pt>
                <c:pt idx="4">
                  <c:v>60257471.759460889</c:v>
                </c:pt>
                <c:pt idx="5">
                  <c:v>60603821.660637163</c:v>
                </c:pt>
                <c:pt idx="6">
                  <c:v>61723137.075804144</c:v>
                </c:pt>
                <c:pt idx="7">
                  <c:v>61890004.12601351</c:v>
                </c:pt>
                <c:pt idx="8">
                  <c:v>62011844.04240533</c:v>
                </c:pt>
                <c:pt idx="9">
                  <c:v>62141324.798827343</c:v>
                </c:pt>
              </c:numCache>
            </c:numRef>
          </c:val>
          <c:extLst>
            <c:ext xmlns:c16="http://schemas.microsoft.com/office/drawing/2014/chart" uri="{C3380CC4-5D6E-409C-BE32-E72D297353CC}">
              <c16:uniqueId val="{00000000-A6BA-4372-BE58-EBD5B71E083A}"/>
            </c:ext>
          </c:extLst>
        </c:ser>
        <c:ser>
          <c:idx val="1"/>
          <c:order val="2"/>
          <c:tx>
            <c:v>Growth</c:v>
          </c:tx>
          <c:dLbls>
            <c:spPr>
              <a:noFill/>
              <a:ln>
                <a:noFill/>
              </a:ln>
              <a:effectLst/>
            </c:spPr>
            <c:txPr>
              <a:bodyPr rot="0" vert="horz"/>
              <a:lstStyle/>
              <a:p>
                <a:pPr algn="ctr">
                  <a:defRPr lang="en-US" sz="1200" b="1" u="none" baseline="0">
                    <a:latin typeface="Arial Narrow"/>
                    <a:ea typeface="Arial Narrow"/>
                    <a:cs typeface="Arial Narrow"/>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SHEET1Report!$C$14193:$C$14202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SHEET1Report!$L$14193:$L$14202</c:f>
              <c:numCache>
                <c:formatCode>"$"#,##0</c:formatCode>
                <c:ptCount val="10"/>
                <c:pt idx="1">
                  <c:v>2152558.122</c:v>
                </c:pt>
                <c:pt idx="2">
                  <c:v>4668214.2439999999</c:v>
                </c:pt>
                <c:pt idx="3">
                  <c:v>7327547.7733200006</c:v>
                </c:pt>
                <c:pt idx="4">
                  <c:v>10091387.3581152</c:v>
                </c:pt>
                <c:pt idx="5">
                  <c:v>12962849.507192878</c:v>
                </c:pt>
                <c:pt idx="6">
                  <c:v>15945133.587290419</c:v>
                </c:pt>
                <c:pt idx="7">
                  <c:v>19041523.890788984</c:v>
                </c:pt>
                <c:pt idx="8">
                  <c:v>22255391.752992582</c:v>
                </c:pt>
                <c:pt idx="9">
                  <c:v>25590197.720127996</c:v>
                </c:pt>
              </c:numCache>
            </c:numRef>
          </c:val>
          <c:extLst>
            <c:ext xmlns:c16="http://schemas.microsoft.com/office/drawing/2014/chart" uri="{C3380CC4-5D6E-409C-BE32-E72D297353CC}">
              <c16:uniqueId val="{00000001-A6BA-4372-BE58-EBD5B71E083A}"/>
            </c:ext>
          </c:extLst>
        </c:ser>
        <c:dLbls>
          <c:showLegendKey val="0"/>
          <c:showVal val="0"/>
          <c:showCatName val="0"/>
          <c:showSerName val="0"/>
          <c:showPercent val="0"/>
          <c:showBubbleSize val="0"/>
        </c:dLbls>
        <c:axId val="151116416"/>
        <c:axId val="151593728"/>
      </c:areaChart>
      <c:lineChart>
        <c:grouping val="standard"/>
        <c:varyColors val="0"/>
        <c:ser>
          <c:idx val="3"/>
          <c:order val="1"/>
          <c:tx>
            <c:v>CRC</c:v>
          </c:tx>
          <c:spPr>
            <a:ln w="44450" cmpd="sng">
              <a:solidFill>
                <a:schemeClr val="accent1">
                  <a:lumMod val="50000"/>
                </a:schemeClr>
              </a:solidFill>
            </a:ln>
          </c:spPr>
          <c:marker>
            <c:symbol val="none"/>
          </c:marker>
          <c:cat>
            <c:numRef>
              <c:f>[2]WDV!$B$5:$B$15</c:f>
              <c:numCache>
                <c:formatCode>General</c:formatCode>
                <c:ptCount val="11"/>
              </c:numCache>
            </c:numRef>
          </c:cat>
          <c:val>
            <c:numRef>
              <c:f>SHEET1Report!$G$14193:$G$14202</c:f>
              <c:numCache>
                <c:formatCode>"$"#,##0</c:formatCode>
                <c:ptCount val="10"/>
                <c:pt idx="0">
                  <c:v>88729645.180000156</c:v>
                </c:pt>
                <c:pt idx="1">
                  <c:v>90882203.30200015</c:v>
                </c:pt>
                <c:pt idx="2">
                  <c:v>95265816.612480149</c:v>
                </c:pt>
                <c:pt idx="3">
                  <c:v>99788421.574058548</c:v>
                </c:pt>
                <c:pt idx="4">
                  <c:v>104453824.40745507</c:v>
                </c:pt>
                <c:pt idx="5">
                  <c:v>109265927.98555785</c:v>
                </c:pt>
                <c:pt idx="6">
                  <c:v>114228734.17702177</c:v>
                </c:pt>
                <c:pt idx="7">
                  <c:v>119346346.24495001</c:v>
                </c:pt>
                <c:pt idx="8">
                  <c:v>124622971.30192456</c:v>
                </c:pt>
                <c:pt idx="9">
                  <c:v>130062922.82268013</c:v>
                </c:pt>
              </c:numCache>
            </c:numRef>
          </c:val>
          <c:smooth val="0"/>
          <c:extLst>
            <c:ext xmlns:c16="http://schemas.microsoft.com/office/drawing/2014/chart" uri="{C3380CC4-5D6E-409C-BE32-E72D297353CC}">
              <c16:uniqueId val="{00000002-A6BA-4372-BE58-EBD5B71E083A}"/>
            </c:ext>
          </c:extLst>
        </c:ser>
        <c:dLbls>
          <c:showLegendKey val="0"/>
          <c:showVal val="0"/>
          <c:showCatName val="0"/>
          <c:showSerName val="0"/>
          <c:showPercent val="0"/>
          <c:showBubbleSize val="0"/>
        </c:dLbls>
        <c:marker val="1"/>
        <c:smooth val="0"/>
        <c:axId val="151116416"/>
        <c:axId val="151593728"/>
      </c:lineChart>
      <c:catAx>
        <c:axId val="151116416"/>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Projected depreciated replacement cost (WDV)</a:t>
                </a:r>
              </a:p>
            </c:rich>
          </c:tx>
          <c:overlay val="0"/>
          <c:spPr>
            <a:noFill/>
            <a:ln>
              <a:noFill/>
            </a:ln>
          </c:spPr>
        </c:title>
        <c:numFmt formatCode="General" sourceLinked="1"/>
        <c:majorTickMark val="out"/>
        <c:minorTickMark val="none"/>
        <c:tickLblPos val="nextTo"/>
        <c:spPr>
          <a:ln w="9525" cap="flat" cmpd="sng"/>
        </c:spPr>
        <c:crossAx val="151593728"/>
        <c:crosses val="autoZero"/>
        <c:auto val="1"/>
        <c:lblAlgn val="ctr"/>
        <c:lblOffset val="100"/>
        <c:noMultiLvlLbl val="0"/>
      </c:catAx>
      <c:valAx>
        <c:axId val="151593728"/>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151116416"/>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Roads</c:v>
          </c:tx>
          <c:spPr>
            <a:gradFill rotWithShape="1">
              <a:gsLst>
                <a:gs pos="0">
                  <a:schemeClr val="accent5">
                    <a:lumMod val="50000"/>
                  </a:schemeClr>
                </a:gs>
                <a:gs pos="29000">
                  <a:schemeClr val="accent5">
                    <a:lumMod val="75000"/>
                  </a:schemeClr>
                </a:gs>
                <a:gs pos="66000">
                  <a:srgbClr val="89B7C9"/>
                </a:gs>
                <a:gs pos="100000">
                  <a:schemeClr val="accent5">
                    <a:lumMod val="20000"/>
                    <a:lumOff val="80000"/>
                  </a:schemeClr>
                </a:gs>
              </a:gsLst>
              <a:lin ang="5400000" scaled="1"/>
              <a:tileRect/>
            </a:gradFill>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SHEET1Report!$C$14216:$C$14225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SHEET1Report!$H$14216:$H$14225</c:f>
              <c:numCache>
                <c:formatCode>"$"#,##0</c:formatCode>
                <c:ptCount val="10"/>
                <c:pt idx="0">
                  <c:v>1510897.4712666699</c:v>
                </c:pt>
                <c:pt idx="1">
                  <c:v>1547551.4510801428</c:v>
                </c:pt>
                <c:pt idx="2">
                  <c:v>1622196.0667819083</c:v>
                </c:pt>
                <c:pt idx="3">
                  <c:v>1699207.4465313128</c:v>
                </c:pt>
                <c:pt idx="4">
                  <c:v>1778650.4030439802</c:v>
                </c:pt>
                <c:pt idx="5">
                  <c:v>1860591.3948385422</c:v>
                </c:pt>
                <c:pt idx="6">
                  <c:v>1945098.5661436692</c:v>
                </c:pt>
                <c:pt idx="7">
                  <c:v>2032241.7877430655</c:v>
                </c:pt>
                <c:pt idx="8">
                  <c:v>2122092.6987799802</c:v>
                </c:pt>
                <c:pt idx="9">
                  <c:v>2214724.7495432748</c:v>
                </c:pt>
              </c:numCache>
            </c:numRef>
          </c:val>
          <c:extLst>
            <c:ext xmlns:c16="http://schemas.microsoft.com/office/drawing/2014/chart" uri="{C3380CC4-5D6E-409C-BE32-E72D297353CC}">
              <c16:uniqueId val="{00000000-0847-4562-9CB0-44308E66364D}"/>
            </c:ext>
          </c:extLst>
        </c:ser>
        <c:ser>
          <c:idx val="0"/>
          <c:order val="1"/>
          <c:tx>
            <c:v>Footpath items</c:v>
          </c:tx>
          <c:spPr>
            <a:solidFill>
              <a:srgbClr val="4BACC6">
                <a:lumMod val="20000"/>
                <a:lumOff val="80000"/>
              </a:srgbClr>
            </a:solidFill>
            <a:ln w="9525" cap="flat" cmpd="sng">
              <a:solidFill>
                <a:srgbClr val="B7DEE8"/>
              </a:solidFill>
            </a:ln>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SHEET1Report!$C$14216:$C$14225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SHEET1Report!$J$14216:$J$14225</c:f>
              <c:numCache>
                <c:formatCode>"$"#,##0</c:formatCode>
                <c:ptCount val="10"/>
                <c:pt idx="0">
                  <c:v>146965</c:v>
                </c:pt>
                <c:pt idx="1">
                  <c:v>150530.33268850527</c:v>
                </c:pt>
                <c:pt idx="2">
                  <c:v>157791.01460454101</c:v>
                </c:pt>
                <c:pt idx="3">
                  <c:v>165281.91166414274</c:v>
                </c:pt>
                <c:pt idx="4">
                  <c:v>173009.32820028672</c:v>
                </c:pt>
                <c:pt idx="5">
                  <c:v>180979.72863321082</c:v>
                </c:pt>
                <c:pt idx="6">
                  <c:v>189199.74135217178</c:v>
                </c:pt>
                <c:pt idx="7">
                  <c:v>197676.16268843788</c:v>
                </c:pt>
                <c:pt idx="8">
                  <c:v>206415.96098161372</c:v>
                </c:pt>
                <c:pt idx="9">
                  <c:v>215426.28074144127</c:v>
                </c:pt>
              </c:numCache>
            </c:numRef>
          </c:val>
          <c:extLst>
            <c:ext xmlns:c16="http://schemas.microsoft.com/office/drawing/2014/chart" uri="{C3380CC4-5D6E-409C-BE32-E72D297353CC}">
              <c16:uniqueId val="{00000001-0847-4562-9CB0-44308E66364D}"/>
            </c:ext>
          </c:extLst>
        </c:ser>
        <c:ser>
          <c:idx val="2"/>
          <c:order val="2"/>
          <c:tx>
            <c:v>Parks</c:v>
          </c:tx>
          <c:spPr>
            <a:solidFill>
              <a:schemeClr val="accent3">
                <a:lumMod val="75000"/>
              </a:schemeClr>
            </a:solidFill>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SHEET1Report!$C$14216:$C$14225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SHEET1Report!$F$14216:$F$14225</c:f>
              <c:numCache>
                <c:formatCode>"$"#,##0</c:formatCode>
                <c:ptCount val="10"/>
                <c:pt idx="0">
                  <c:v>260175.13588888888</c:v>
                </c:pt>
                <c:pt idx="1">
                  <c:v>266486.91703896516</c:v>
                </c:pt>
                <c:pt idx="2">
                  <c:v>279340.65026898991</c:v>
                </c:pt>
                <c:pt idx="3">
                  <c:v>292601.93806140008</c:v>
                </c:pt>
                <c:pt idx="4">
                  <c:v>306281.94110539905</c:v>
                </c:pt>
                <c:pt idx="5">
                  <c:v>320392.10349593346</c:v>
                </c:pt>
                <c:pt idx="6">
                  <c:v>334944.15960564703</c:v>
                </c:pt>
                <c:pt idx="7">
                  <c:v>349950.14111835085</c:v>
                </c:pt>
                <c:pt idx="8">
                  <c:v>365422.38422772044</c:v>
                </c:pt>
                <c:pt idx="9">
                  <c:v>381373.53700501757</c:v>
                </c:pt>
              </c:numCache>
            </c:numRef>
          </c:val>
          <c:extLst>
            <c:ext xmlns:c16="http://schemas.microsoft.com/office/drawing/2014/chart" uri="{C3380CC4-5D6E-409C-BE32-E72D297353CC}">
              <c16:uniqueId val="{00000002-0847-4562-9CB0-44308E66364D}"/>
            </c:ext>
          </c:extLst>
        </c:ser>
        <c:dLbls>
          <c:showLegendKey val="0"/>
          <c:showVal val="0"/>
          <c:showCatName val="0"/>
          <c:showSerName val="0"/>
          <c:showPercent val="0"/>
          <c:showBubbleSize val="0"/>
        </c:dLbls>
        <c:axId val="151623168"/>
        <c:axId val="151625088"/>
      </c:areaChart>
      <c:lineChart>
        <c:grouping val="standard"/>
        <c:varyColors val="0"/>
        <c:ser>
          <c:idx val="4"/>
          <c:order val="3"/>
          <c:tx>
            <c:v>Current Depreciation expense</c:v>
          </c:tx>
          <c:spPr>
            <a:ln w="41275" cmpd="sng">
              <a:solidFill>
                <a:srgbClr val="FFFF00"/>
              </a:solidFill>
            </a:ln>
          </c:spPr>
          <c:marker>
            <c:symbol val="none"/>
          </c:marker>
          <c:cat>
            <c:numRef>
              <c:f>'[3]WRV &amp; DEP +3%'!$B$4:$B$13</c:f>
              <c:numCache>
                <c:formatCode>General</c:formatCode>
                <c:ptCount val="10"/>
              </c:numCache>
            </c:numRef>
          </c:cat>
          <c:val>
            <c:numRef>
              <c:f>SHEET1Report!$M$14216:$M$14225</c:f>
              <c:numCache>
                <c:formatCode>"$"#,##0_);[Red]\("$"#,##0\)</c:formatCode>
                <c:ptCount val="10"/>
                <c:pt idx="0">
                  <c:v>1918037.6071555589</c:v>
                </c:pt>
                <c:pt idx="1">
                  <c:v>1918037.6071555589</c:v>
                </c:pt>
                <c:pt idx="2">
                  <c:v>1918037.6071555589</c:v>
                </c:pt>
                <c:pt idx="3">
                  <c:v>1918037.6071555589</c:v>
                </c:pt>
                <c:pt idx="4">
                  <c:v>1918037.6071555589</c:v>
                </c:pt>
                <c:pt idx="5">
                  <c:v>1918037.6071555589</c:v>
                </c:pt>
                <c:pt idx="6">
                  <c:v>1918037.6071555589</c:v>
                </c:pt>
                <c:pt idx="7">
                  <c:v>1918037.6071555589</c:v>
                </c:pt>
                <c:pt idx="8">
                  <c:v>1918037.6071555589</c:v>
                </c:pt>
                <c:pt idx="9">
                  <c:v>1918037.6071555589</c:v>
                </c:pt>
              </c:numCache>
            </c:numRef>
          </c:val>
          <c:smooth val="0"/>
          <c:extLst>
            <c:ext xmlns:c16="http://schemas.microsoft.com/office/drawing/2014/chart" uri="{C3380CC4-5D6E-409C-BE32-E72D297353CC}">
              <c16:uniqueId val="{00000003-0847-4562-9CB0-44308E66364D}"/>
            </c:ext>
          </c:extLst>
        </c:ser>
        <c:dLbls>
          <c:showLegendKey val="0"/>
          <c:showVal val="0"/>
          <c:showCatName val="0"/>
          <c:showSerName val="0"/>
          <c:showPercent val="0"/>
          <c:showBubbleSize val="0"/>
        </c:dLbls>
        <c:marker val="1"/>
        <c:smooth val="0"/>
        <c:axId val="151623168"/>
        <c:axId val="151625088"/>
      </c:lineChart>
      <c:catAx>
        <c:axId val="151623168"/>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Projected depreciated expense</a:t>
                </a:r>
              </a:p>
            </c:rich>
          </c:tx>
          <c:overlay val="0"/>
          <c:spPr>
            <a:noFill/>
            <a:ln>
              <a:noFill/>
            </a:ln>
          </c:spPr>
        </c:title>
        <c:numFmt formatCode="General" sourceLinked="1"/>
        <c:majorTickMark val="out"/>
        <c:minorTickMark val="none"/>
        <c:tickLblPos val="nextTo"/>
        <c:spPr>
          <a:ln w="9525" cap="flat" cmpd="sng"/>
        </c:spPr>
        <c:crossAx val="151625088"/>
        <c:crosses val="autoZero"/>
        <c:auto val="1"/>
        <c:lblAlgn val="ctr"/>
        <c:lblOffset val="100"/>
        <c:noMultiLvlLbl val="0"/>
      </c:catAx>
      <c:valAx>
        <c:axId val="151625088"/>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151623168"/>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0.577</cdr:x>
      <cdr:y>0.169</cdr:y>
    </cdr:from>
    <cdr:to>
      <cdr:x>0.75675</cdr:x>
      <cdr:y>0.29625</cdr:y>
    </cdr:to>
    <cdr:sp macro="" textlink="">
      <cdr:nvSpPr>
        <cdr:cNvPr id="2" name="TextBox 1"/>
        <cdr:cNvSpPr txBox="1"/>
      </cdr:nvSpPr>
      <cdr:spPr>
        <a:xfrm xmlns:a="http://schemas.openxmlformats.org/drawingml/2006/main">
          <a:off x="3524250" y="723900"/>
          <a:ext cx="1095375" cy="542925"/>
        </a:xfrm>
        <a:prstGeom xmlns:a="http://schemas.openxmlformats.org/drawingml/2006/main" prst="rect">
          <a:avLst/>
        </a:prstGeom>
        <a:solidFill xmlns:a="http://schemas.openxmlformats.org/drawingml/2006/main">
          <a:schemeClr val="bg1"/>
        </a:solidFill>
        <a:ln xmlns:a="http://schemas.openxmlformats.org/drawingml/2006/main">
          <a:solidFill>
            <a:srgbClr val="000000"/>
          </a:solidFill>
        </a:ln>
      </cdr:spPr>
      <cdr:txBody>
        <a:bodyPr xmlns:a="http://schemas.openxmlformats.org/drawingml/2006/main" vertOverflow="clip" wrap="none" anchor="ctr"/>
        <a:lstStyle xmlns:a="http://schemas.openxmlformats.org/drawingml/2006/main"/>
        <a:p xmlns:a="http://schemas.openxmlformats.org/drawingml/2006/main">
          <a:pPr algn="ctr"/>
          <a:r>
            <a:rPr lang="en-AU" sz="1200">
              <a:latin typeface="Arial Narrow" pitchFamily="34" charset="0"/>
            </a:rPr>
            <a:t>Projected asset </a:t>
          </a:r>
        </a:p>
        <a:p xmlns:a="http://schemas.openxmlformats.org/drawingml/2006/main">
          <a:pPr algn="ctr"/>
          <a:r>
            <a:rPr lang="en-AU" sz="1200">
              <a:latin typeface="Arial Narrow" pitchFamily="34" charset="0"/>
            </a:rPr>
            <a:t>values</a:t>
          </a:r>
          <a:r>
            <a:rPr lang="en-AU" sz="1200" baseline="0">
              <a:latin typeface="Arial Narrow" pitchFamily="34" charset="0"/>
            </a:rPr>
            <a:t> (CRC)</a:t>
          </a:r>
          <a:endParaRPr lang="en-AU" sz="1200">
            <a:latin typeface="Arial Narrow"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cdr:x>
      <cdr:y>0.33875</cdr:y>
    </cdr:from>
    <cdr:to>
      <cdr:x>0.944</cdr:x>
      <cdr:y>0.40275</cdr:y>
    </cdr:to>
    <cdr:sp macro="" textlink="">
      <cdr:nvSpPr>
        <cdr:cNvPr id="2" name="TextBox 1"/>
        <cdr:cNvSpPr txBox="1"/>
      </cdr:nvSpPr>
      <cdr:spPr>
        <a:xfrm xmlns:a="http://schemas.openxmlformats.org/drawingml/2006/main">
          <a:off x="4457700" y="1257300"/>
          <a:ext cx="1247775" cy="238125"/>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tx1"/>
        </a:fontRef>
      </cdr:style>
      <cdr:txBody>
        <a:bodyPr xmlns:a="http://schemas.openxmlformats.org/drawingml/2006/main" wrap="none" anchor="t">
          <a:spAutoFit/>
        </a:bodyPr>
        <a:lstStyle xmlns:a="http://schemas.openxmlformats.org/drawingml/2006/main"/>
        <a:p xmlns:a="http://schemas.openxmlformats.org/drawingml/2006/main">
          <a:r>
            <a:rPr lang="en-AU" sz="1100">
              <a:latin typeface="Arial Narrow" panose="020B0606020202030204" pitchFamily="34" charset="0"/>
            </a:rPr>
            <a:t>Current depreciation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712CC-8225-4527-95D6-F0C980A7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69</Pages>
  <Words>12848</Words>
  <Characters>72979</Characters>
  <Application>Microsoft Office Word</Application>
  <DocSecurity>0</DocSecurity>
  <Lines>3648</Lines>
  <Paragraphs>2682</Paragraphs>
  <ScaleCrop>false</ScaleCrop>
  <HeadingPairs>
    <vt:vector size="2" baseType="variant">
      <vt:variant>
        <vt:lpstr>Title</vt:lpstr>
      </vt:variant>
      <vt:variant>
        <vt:i4>1</vt:i4>
      </vt:variant>
    </vt:vector>
  </HeadingPairs>
  <TitlesOfParts>
    <vt:vector size="1" baseType="lpstr">
      <vt:lpstr>AM IAMP Template</vt:lpstr>
    </vt:vector>
  </TitlesOfParts>
  <Company>JRA</Company>
  <LinksUpToDate>false</LinksUpToDate>
  <CharactersWithSpaces>83145</CharactersWithSpaces>
  <SharedDoc>false</SharedDoc>
  <HLinks>
    <vt:vector size="390" baseType="variant">
      <vt:variant>
        <vt:i4>1179714</vt:i4>
      </vt:variant>
      <vt:variant>
        <vt:i4>387</vt:i4>
      </vt:variant>
      <vt:variant>
        <vt:i4>0</vt:i4>
      </vt:variant>
      <vt:variant>
        <vt:i4>5</vt:i4>
      </vt:variant>
      <vt:variant>
        <vt:lpwstr>http://www.ipwea.org.au/</vt:lpwstr>
      </vt:variant>
      <vt:variant>
        <vt:lpwstr/>
      </vt:variant>
      <vt:variant>
        <vt:i4>6422563</vt:i4>
      </vt:variant>
      <vt:variant>
        <vt:i4>384</vt:i4>
      </vt:variant>
      <vt:variant>
        <vt:i4>0</vt:i4>
      </vt:variant>
      <vt:variant>
        <vt:i4>5</vt:i4>
      </vt:variant>
      <vt:variant>
        <vt:lpwstr>http://www.dvc.vic.gov.au/web20/dvclgv.nsf/allDocs/RWP1C79EC4A7225CD2FCA257170003259F6?OpenDocument</vt:lpwstr>
      </vt:variant>
      <vt:variant>
        <vt:lpwstr/>
      </vt:variant>
      <vt:variant>
        <vt:i4>1179696</vt:i4>
      </vt:variant>
      <vt:variant>
        <vt:i4>377</vt:i4>
      </vt:variant>
      <vt:variant>
        <vt:i4>0</vt:i4>
      </vt:variant>
      <vt:variant>
        <vt:i4>5</vt:i4>
      </vt:variant>
      <vt:variant>
        <vt:lpwstr/>
      </vt:variant>
      <vt:variant>
        <vt:lpwstr>_Toc177056341</vt:lpwstr>
      </vt:variant>
      <vt:variant>
        <vt:i4>1179696</vt:i4>
      </vt:variant>
      <vt:variant>
        <vt:i4>371</vt:i4>
      </vt:variant>
      <vt:variant>
        <vt:i4>0</vt:i4>
      </vt:variant>
      <vt:variant>
        <vt:i4>5</vt:i4>
      </vt:variant>
      <vt:variant>
        <vt:lpwstr/>
      </vt:variant>
      <vt:variant>
        <vt:lpwstr>_Toc177056340</vt:lpwstr>
      </vt:variant>
      <vt:variant>
        <vt:i4>1376304</vt:i4>
      </vt:variant>
      <vt:variant>
        <vt:i4>365</vt:i4>
      </vt:variant>
      <vt:variant>
        <vt:i4>0</vt:i4>
      </vt:variant>
      <vt:variant>
        <vt:i4>5</vt:i4>
      </vt:variant>
      <vt:variant>
        <vt:lpwstr/>
      </vt:variant>
      <vt:variant>
        <vt:lpwstr>_Toc177056339</vt:lpwstr>
      </vt:variant>
      <vt:variant>
        <vt:i4>1376304</vt:i4>
      </vt:variant>
      <vt:variant>
        <vt:i4>359</vt:i4>
      </vt:variant>
      <vt:variant>
        <vt:i4>0</vt:i4>
      </vt:variant>
      <vt:variant>
        <vt:i4>5</vt:i4>
      </vt:variant>
      <vt:variant>
        <vt:lpwstr/>
      </vt:variant>
      <vt:variant>
        <vt:lpwstr>_Toc177056338</vt:lpwstr>
      </vt:variant>
      <vt:variant>
        <vt:i4>1376304</vt:i4>
      </vt:variant>
      <vt:variant>
        <vt:i4>353</vt:i4>
      </vt:variant>
      <vt:variant>
        <vt:i4>0</vt:i4>
      </vt:variant>
      <vt:variant>
        <vt:i4>5</vt:i4>
      </vt:variant>
      <vt:variant>
        <vt:lpwstr/>
      </vt:variant>
      <vt:variant>
        <vt:lpwstr>_Toc177056337</vt:lpwstr>
      </vt:variant>
      <vt:variant>
        <vt:i4>1376304</vt:i4>
      </vt:variant>
      <vt:variant>
        <vt:i4>347</vt:i4>
      </vt:variant>
      <vt:variant>
        <vt:i4>0</vt:i4>
      </vt:variant>
      <vt:variant>
        <vt:i4>5</vt:i4>
      </vt:variant>
      <vt:variant>
        <vt:lpwstr/>
      </vt:variant>
      <vt:variant>
        <vt:lpwstr>_Toc177056336</vt:lpwstr>
      </vt:variant>
      <vt:variant>
        <vt:i4>1376304</vt:i4>
      </vt:variant>
      <vt:variant>
        <vt:i4>341</vt:i4>
      </vt:variant>
      <vt:variant>
        <vt:i4>0</vt:i4>
      </vt:variant>
      <vt:variant>
        <vt:i4>5</vt:i4>
      </vt:variant>
      <vt:variant>
        <vt:lpwstr/>
      </vt:variant>
      <vt:variant>
        <vt:lpwstr>_Toc177056335</vt:lpwstr>
      </vt:variant>
      <vt:variant>
        <vt:i4>1376304</vt:i4>
      </vt:variant>
      <vt:variant>
        <vt:i4>335</vt:i4>
      </vt:variant>
      <vt:variant>
        <vt:i4>0</vt:i4>
      </vt:variant>
      <vt:variant>
        <vt:i4>5</vt:i4>
      </vt:variant>
      <vt:variant>
        <vt:lpwstr/>
      </vt:variant>
      <vt:variant>
        <vt:lpwstr>_Toc177056334</vt:lpwstr>
      </vt:variant>
      <vt:variant>
        <vt:i4>1376304</vt:i4>
      </vt:variant>
      <vt:variant>
        <vt:i4>329</vt:i4>
      </vt:variant>
      <vt:variant>
        <vt:i4>0</vt:i4>
      </vt:variant>
      <vt:variant>
        <vt:i4>5</vt:i4>
      </vt:variant>
      <vt:variant>
        <vt:lpwstr/>
      </vt:variant>
      <vt:variant>
        <vt:lpwstr>_Toc177056333</vt:lpwstr>
      </vt:variant>
      <vt:variant>
        <vt:i4>1376304</vt:i4>
      </vt:variant>
      <vt:variant>
        <vt:i4>323</vt:i4>
      </vt:variant>
      <vt:variant>
        <vt:i4>0</vt:i4>
      </vt:variant>
      <vt:variant>
        <vt:i4>5</vt:i4>
      </vt:variant>
      <vt:variant>
        <vt:lpwstr/>
      </vt:variant>
      <vt:variant>
        <vt:lpwstr>_Toc177056332</vt:lpwstr>
      </vt:variant>
      <vt:variant>
        <vt:i4>1376304</vt:i4>
      </vt:variant>
      <vt:variant>
        <vt:i4>317</vt:i4>
      </vt:variant>
      <vt:variant>
        <vt:i4>0</vt:i4>
      </vt:variant>
      <vt:variant>
        <vt:i4>5</vt:i4>
      </vt:variant>
      <vt:variant>
        <vt:lpwstr/>
      </vt:variant>
      <vt:variant>
        <vt:lpwstr>_Toc177056331</vt:lpwstr>
      </vt:variant>
      <vt:variant>
        <vt:i4>1376304</vt:i4>
      </vt:variant>
      <vt:variant>
        <vt:i4>311</vt:i4>
      </vt:variant>
      <vt:variant>
        <vt:i4>0</vt:i4>
      </vt:variant>
      <vt:variant>
        <vt:i4>5</vt:i4>
      </vt:variant>
      <vt:variant>
        <vt:lpwstr/>
      </vt:variant>
      <vt:variant>
        <vt:lpwstr>_Toc177056330</vt:lpwstr>
      </vt:variant>
      <vt:variant>
        <vt:i4>1310768</vt:i4>
      </vt:variant>
      <vt:variant>
        <vt:i4>305</vt:i4>
      </vt:variant>
      <vt:variant>
        <vt:i4>0</vt:i4>
      </vt:variant>
      <vt:variant>
        <vt:i4>5</vt:i4>
      </vt:variant>
      <vt:variant>
        <vt:lpwstr/>
      </vt:variant>
      <vt:variant>
        <vt:lpwstr>_Toc177056329</vt:lpwstr>
      </vt:variant>
      <vt:variant>
        <vt:i4>1310768</vt:i4>
      </vt:variant>
      <vt:variant>
        <vt:i4>299</vt:i4>
      </vt:variant>
      <vt:variant>
        <vt:i4>0</vt:i4>
      </vt:variant>
      <vt:variant>
        <vt:i4>5</vt:i4>
      </vt:variant>
      <vt:variant>
        <vt:lpwstr/>
      </vt:variant>
      <vt:variant>
        <vt:lpwstr>_Toc177056328</vt:lpwstr>
      </vt:variant>
      <vt:variant>
        <vt:i4>1310768</vt:i4>
      </vt:variant>
      <vt:variant>
        <vt:i4>293</vt:i4>
      </vt:variant>
      <vt:variant>
        <vt:i4>0</vt:i4>
      </vt:variant>
      <vt:variant>
        <vt:i4>5</vt:i4>
      </vt:variant>
      <vt:variant>
        <vt:lpwstr/>
      </vt:variant>
      <vt:variant>
        <vt:lpwstr>_Toc177056327</vt:lpwstr>
      </vt:variant>
      <vt:variant>
        <vt:i4>1310768</vt:i4>
      </vt:variant>
      <vt:variant>
        <vt:i4>287</vt:i4>
      </vt:variant>
      <vt:variant>
        <vt:i4>0</vt:i4>
      </vt:variant>
      <vt:variant>
        <vt:i4>5</vt:i4>
      </vt:variant>
      <vt:variant>
        <vt:lpwstr/>
      </vt:variant>
      <vt:variant>
        <vt:lpwstr>_Toc177056326</vt:lpwstr>
      </vt:variant>
      <vt:variant>
        <vt:i4>1310768</vt:i4>
      </vt:variant>
      <vt:variant>
        <vt:i4>281</vt:i4>
      </vt:variant>
      <vt:variant>
        <vt:i4>0</vt:i4>
      </vt:variant>
      <vt:variant>
        <vt:i4>5</vt:i4>
      </vt:variant>
      <vt:variant>
        <vt:lpwstr/>
      </vt:variant>
      <vt:variant>
        <vt:lpwstr>_Toc177056325</vt:lpwstr>
      </vt:variant>
      <vt:variant>
        <vt:i4>1310768</vt:i4>
      </vt:variant>
      <vt:variant>
        <vt:i4>275</vt:i4>
      </vt:variant>
      <vt:variant>
        <vt:i4>0</vt:i4>
      </vt:variant>
      <vt:variant>
        <vt:i4>5</vt:i4>
      </vt:variant>
      <vt:variant>
        <vt:lpwstr/>
      </vt:variant>
      <vt:variant>
        <vt:lpwstr>_Toc177056324</vt:lpwstr>
      </vt:variant>
      <vt:variant>
        <vt:i4>1310768</vt:i4>
      </vt:variant>
      <vt:variant>
        <vt:i4>269</vt:i4>
      </vt:variant>
      <vt:variant>
        <vt:i4>0</vt:i4>
      </vt:variant>
      <vt:variant>
        <vt:i4>5</vt:i4>
      </vt:variant>
      <vt:variant>
        <vt:lpwstr/>
      </vt:variant>
      <vt:variant>
        <vt:lpwstr>_Toc177056323</vt:lpwstr>
      </vt:variant>
      <vt:variant>
        <vt:i4>1310768</vt:i4>
      </vt:variant>
      <vt:variant>
        <vt:i4>263</vt:i4>
      </vt:variant>
      <vt:variant>
        <vt:i4>0</vt:i4>
      </vt:variant>
      <vt:variant>
        <vt:i4>5</vt:i4>
      </vt:variant>
      <vt:variant>
        <vt:lpwstr/>
      </vt:variant>
      <vt:variant>
        <vt:lpwstr>_Toc177056322</vt:lpwstr>
      </vt:variant>
      <vt:variant>
        <vt:i4>1310768</vt:i4>
      </vt:variant>
      <vt:variant>
        <vt:i4>257</vt:i4>
      </vt:variant>
      <vt:variant>
        <vt:i4>0</vt:i4>
      </vt:variant>
      <vt:variant>
        <vt:i4>5</vt:i4>
      </vt:variant>
      <vt:variant>
        <vt:lpwstr/>
      </vt:variant>
      <vt:variant>
        <vt:lpwstr>_Toc177056321</vt:lpwstr>
      </vt:variant>
      <vt:variant>
        <vt:i4>1310768</vt:i4>
      </vt:variant>
      <vt:variant>
        <vt:i4>251</vt:i4>
      </vt:variant>
      <vt:variant>
        <vt:i4>0</vt:i4>
      </vt:variant>
      <vt:variant>
        <vt:i4>5</vt:i4>
      </vt:variant>
      <vt:variant>
        <vt:lpwstr/>
      </vt:variant>
      <vt:variant>
        <vt:lpwstr>_Toc177056320</vt:lpwstr>
      </vt:variant>
      <vt:variant>
        <vt:i4>1507376</vt:i4>
      </vt:variant>
      <vt:variant>
        <vt:i4>245</vt:i4>
      </vt:variant>
      <vt:variant>
        <vt:i4>0</vt:i4>
      </vt:variant>
      <vt:variant>
        <vt:i4>5</vt:i4>
      </vt:variant>
      <vt:variant>
        <vt:lpwstr/>
      </vt:variant>
      <vt:variant>
        <vt:lpwstr>_Toc177056319</vt:lpwstr>
      </vt:variant>
      <vt:variant>
        <vt:i4>1507376</vt:i4>
      </vt:variant>
      <vt:variant>
        <vt:i4>239</vt:i4>
      </vt:variant>
      <vt:variant>
        <vt:i4>0</vt:i4>
      </vt:variant>
      <vt:variant>
        <vt:i4>5</vt:i4>
      </vt:variant>
      <vt:variant>
        <vt:lpwstr/>
      </vt:variant>
      <vt:variant>
        <vt:lpwstr>_Toc177056318</vt:lpwstr>
      </vt:variant>
      <vt:variant>
        <vt:i4>1507376</vt:i4>
      </vt:variant>
      <vt:variant>
        <vt:i4>233</vt:i4>
      </vt:variant>
      <vt:variant>
        <vt:i4>0</vt:i4>
      </vt:variant>
      <vt:variant>
        <vt:i4>5</vt:i4>
      </vt:variant>
      <vt:variant>
        <vt:lpwstr/>
      </vt:variant>
      <vt:variant>
        <vt:lpwstr>_Toc177056317</vt:lpwstr>
      </vt:variant>
      <vt:variant>
        <vt:i4>1507376</vt:i4>
      </vt:variant>
      <vt:variant>
        <vt:i4>227</vt:i4>
      </vt:variant>
      <vt:variant>
        <vt:i4>0</vt:i4>
      </vt:variant>
      <vt:variant>
        <vt:i4>5</vt:i4>
      </vt:variant>
      <vt:variant>
        <vt:lpwstr/>
      </vt:variant>
      <vt:variant>
        <vt:lpwstr>_Toc177056316</vt:lpwstr>
      </vt:variant>
      <vt:variant>
        <vt:i4>1507376</vt:i4>
      </vt:variant>
      <vt:variant>
        <vt:i4>221</vt:i4>
      </vt:variant>
      <vt:variant>
        <vt:i4>0</vt:i4>
      </vt:variant>
      <vt:variant>
        <vt:i4>5</vt:i4>
      </vt:variant>
      <vt:variant>
        <vt:lpwstr/>
      </vt:variant>
      <vt:variant>
        <vt:lpwstr>_Toc177056315</vt:lpwstr>
      </vt:variant>
      <vt:variant>
        <vt:i4>1507376</vt:i4>
      </vt:variant>
      <vt:variant>
        <vt:i4>215</vt:i4>
      </vt:variant>
      <vt:variant>
        <vt:i4>0</vt:i4>
      </vt:variant>
      <vt:variant>
        <vt:i4>5</vt:i4>
      </vt:variant>
      <vt:variant>
        <vt:lpwstr/>
      </vt:variant>
      <vt:variant>
        <vt:lpwstr>_Toc177056314</vt:lpwstr>
      </vt:variant>
      <vt:variant>
        <vt:i4>1507376</vt:i4>
      </vt:variant>
      <vt:variant>
        <vt:i4>209</vt:i4>
      </vt:variant>
      <vt:variant>
        <vt:i4>0</vt:i4>
      </vt:variant>
      <vt:variant>
        <vt:i4>5</vt:i4>
      </vt:variant>
      <vt:variant>
        <vt:lpwstr/>
      </vt:variant>
      <vt:variant>
        <vt:lpwstr>_Toc177056313</vt:lpwstr>
      </vt:variant>
      <vt:variant>
        <vt:i4>1507376</vt:i4>
      </vt:variant>
      <vt:variant>
        <vt:i4>203</vt:i4>
      </vt:variant>
      <vt:variant>
        <vt:i4>0</vt:i4>
      </vt:variant>
      <vt:variant>
        <vt:i4>5</vt:i4>
      </vt:variant>
      <vt:variant>
        <vt:lpwstr/>
      </vt:variant>
      <vt:variant>
        <vt:lpwstr>_Toc177056312</vt:lpwstr>
      </vt:variant>
      <vt:variant>
        <vt:i4>1507376</vt:i4>
      </vt:variant>
      <vt:variant>
        <vt:i4>197</vt:i4>
      </vt:variant>
      <vt:variant>
        <vt:i4>0</vt:i4>
      </vt:variant>
      <vt:variant>
        <vt:i4>5</vt:i4>
      </vt:variant>
      <vt:variant>
        <vt:lpwstr/>
      </vt:variant>
      <vt:variant>
        <vt:lpwstr>_Toc177056311</vt:lpwstr>
      </vt:variant>
      <vt:variant>
        <vt:i4>1507376</vt:i4>
      </vt:variant>
      <vt:variant>
        <vt:i4>191</vt:i4>
      </vt:variant>
      <vt:variant>
        <vt:i4>0</vt:i4>
      </vt:variant>
      <vt:variant>
        <vt:i4>5</vt:i4>
      </vt:variant>
      <vt:variant>
        <vt:lpwstr/>
      </vt:variant>
      <vt:variant>
        <vt:lpwstr>_Toc177056310</vt:lpwstr>
      </vt:variant>
      <vt:variant>
        <vt:i4>1441840</vt:i4>
      </vt:variant>
      <vt:variant>
        <vt:i4>185</vt:i4>
      </vt:variant>
      <vt:variant>
        <vt:i4>0</vt:i4>
      </vt:variant>
      <vt:variant>
        <vt:i4>5</vt:i4>
      </vt:variant>
      <vt:variant>
        <vt:lpwstr/>
      </vt:variant>
      <vt:variant>
        <vt:lpwstr>_Toc177056309</vt:lpwstr>
      </vt:variant>
      <vt:variant>
        <vt:i4>1441840</vt:i4>
      </vt:variant>
      <vt:variant>
        <vt:i4>179</vt:i4>
      </vt:variant>
      <vt:variant>
        <vt:i4>0</vt:i4>
      </vt:variant>
      <vt:variant>
        <vt:i4>5</vt:i4>
      </vt:variant>
      <vt:variant>
        <vt:lpwstr/>
      </vt:variant>
      <vt:variant>
        <vt:lpwstr>_Toc177056308</vt:lpwstr>
      </vt:variant>
      <vt:variant>
        <vt:i4>1441840</vt:i4>
      </vt:variant>
      <vt:variant>
        <vt:i4>173</vt:i4>
      </vt:variant>
      <vt:variant>
        <vt:i4>0</vt:i4>
      </vt:variant>
      <vt:variant>
        <vt:i4>5</vt:i4>
      </vt:variant>
      <vt:variant>
        <vt:lpwstr/>
      </vt:variant>
      <vt:variant>
        <vt:lpwstr>_Toc177056307</vt:lpwstr>
      </vt:variant>
      <vt:variant>
        <vt:i4>1441840</vt:i4>
      </vt:variant>
      <vt:variant>
        <vt:i4>167</vt:i4>
      </vt:variant>
      <vt:variant>
        <vt:i4>0</vt:i4>
      </vt:variant>
      <vt:variant>
        <vt:i4>5</vt:i4>
      </vt:variant>
      <vt:variant>
        <vt:lpwstr/>
      </vt:variant>
      <vt:variant>
        <vt:lpwstr>_Toc177056306</vt:lpwstr>
      </vt:variant>
      <vt:variant>
        <vt:i4>1441840</vt:i4>
      </vt:variant>
      <vt:variant>
        <vt:i4>161</vt:i4>
      </vt:variant>
      <vt:variant>
        <vt:i4>0</vt:i4>
      </vt:variant>
      <vt:variant>
        <vt:i4>5</vt:i4>
      </vt:variant>
      <vt:variant>
        <vt:lpwstr/>
      </vt:variant>
      <vt:variant>
        <vt:lpwstr>_Toc177056305</vt:lpwstr>
      </vt:variant>
      <vt:variant>
        <vt:i4>1441840</vt:i4>
      </vt:variant>
      <vt:variant>
        <vt:i4>155</vt:i4>
      </vt:variant>
      <vt:variant>
        <vt:i4>0</vt:i4>
      </vt:variant>
      <vt:variant>
        <vt:i4>5</vt:i4>
      </vt:variant>
      <vt:variant>
        <vt:lpwstr/>
      </vt:variant>
      <vt:variant>
        <vt:lpwstr>_Toc177056304</vt:lpwstr>
      </vt:variant>
      <vt:variant>
        <vt:i4>1441840</vt:i4>
      </vt:variant>
      <vt:variant>
        <vt:i4>149</vt:i4>
      </vt:variant>
      <vt:variant>
        <vt:i4>0</vt:i4>
      </vt:variant>
      <vt:variant>
        <vt:i4>5</vt:i4>
      </vt:variant>
      <vt:variant>
        <vt:lpwstr/>
      </vt:variant>
      <vt:variant>
        <vt:lpwstr>_Toc177056303</vt:lpwstr>
      </vt:variant>
      <vt:variant>
        <vt:i4>1441840</vt:i4>
      </vt:variant>
      <vt:variant>
        <vt:i4>143</vt:i4>
      </vt:variant>
      <vt:variant>
        <vt:i4>0</vt:i4>
      </vt:variant>
      <vt:variant>
        <vt:i4>5</vt:i4>
      </vt:variant>
      <vt:variant>
        <vt:lpwstr/>
      </vt:variant>
      <vt:variant>
        <vt:lpwstr>_Toc177056302</vt:lpwstr>
      </vt:variant>
      <vt:variant>
        <vt:i4>1441840</vt:i4>
      </vt:variant>
      <vt:variant>
        <vt:i4>137</vt:i4>
      </vt:variant>
      <vt:variant>
        <vt:i4>0</vt:i4>
      </vt:variant>
      <vt:variant>
        <vt:i4>5</vt:i4>
      </vt:variant>
      <vt:variant>
        <vt:lpwstr/>
      </vt:variant>
      <vt:variant>
        <vt:lpwstr>_Toc177056301</vt:lpwstr>
      </vt:variant>
      <vt:variant>
        <vt:i4>1441840</vt:i4>
      </vt:variant>
      <vt:variant>
        <vt:i4>131</vt:i4>
      </vt:variant>
      <vt:variant>
        <vt:i4>0</vt:i4>
      </vt:variant>
      <vt:variant>
        <vt:i4>5</vt:i4>
      </vt:variant>
      <vt:variant>
        <vt:lpwstr/>
      </vt:variant>
      <vt:variant>
        <vt:lpwstr>_Toc177056300</vt:lpwstr>
      </vt:variant>
      <vt:variant>
        <vt:i4>2031665</vt:i4>
      </vt:variant>
      <vt:variant>
        <vt:i4>125</vt:i4>
      </vt:variant>
      <vt:variant>
        <vt:i4>0</vt:i4>
      </vt:variant>
      <vt:variant>
        <vt:i4>5</vt:i4>
      </vt:variant>
      <vt:variant>
        <vt:lpwstr/>
      </vt:variant>
      <vt:variant>
        <vt:lpwstr>_Toc177056299</vt:lpwstr>
      </vt:variant>
      <vt:variant>
        <vt:i4>2031665</vt:i4>
      </vt:variant>
      <vt:variant>
        <vt:i4>119</vt:i4>
      </vt:variant>
      <vt:variant>
        <vt:i4>0</vt:i4>
      </vt:variant>
      <vt:variant>
        <vt:i4>5</vt:i4>
      </vt:variant>
      <vt:variant>
        <vt:lpwstr/>
      </vt:variant>
      <vt:variant>
        <vt:lpwstr>_Toc177056298</vt:lpwstr>
      </vt:variant>
      <vt:variant>
        <vt:i4>2031665</vt:i4>
      </vt:variant>
      <vt:variant>
        <vt:i4>113</vt:i4>
      </vt:variant>
      <vt:variant>
        <vt:i4>0</vt:i4>
      </vt:variant>
      <vt:variant>
        <vt:i4>5</vt:i4>
      </vt:variant>
      <vt:variant>
        <vt:lpwstr/>
      </vt:variant>
      <vt:variant>
        <vt:lpwstr>_Toc177056297</vt:lpwstr>
      </vt:variant>
      <vt:variant>
        <vt:i4>2031665</vt:i4>
      </vt:variant>
      <vt:variant>
        <vt:i4>107</vt:i4>
      </vt:variant>
      <vt:variant>
        <vt:i4>0</vt:i4>
      </vt:variant>
      <vt:variant>
        <vt:i4>5</vt:i4>
      </vt:variant>
      <vt:variant>
        <vt:lpwstr/>
      </vt:variant>
      <vt:variant>
        <vt:lpwstr>_Toc177056296</vt:lpwstr>
      </vt:variant>
      <vt:variant>
        <vt:i4>2031665</vt:i4>
      </vt:variant>
      <vt:variant>
        <vt:i4>101</vt:i4>
      </vt:variant>
      <vt:variant>
        <vt:i4>0</vt:i4>
      </vt:variant>
      <vt:variant>
        <vt:i4>5</vt:i4>
      </vt:variant>
      <vt:variant>
        <vt:lpwstr/>
      </vt:variant>
      <vt:variant>
        <vt:lpwstr>_Toc177056295</vt:lpwstr>
      </vt:variant>
      <vt:variant>
        <vt:i4>2031665</vt:i4>
      </vt:variant>
      <vt:variant>
        <vt:i4>95</vt:i4>
      </vt:variant>
      <vt:variant>
        <vt:i4>0</vt:i4>
      </vt:variant>
      <vt:variant>
        <vt:i4>5</vt:i4>
      </vt:variant>
      <vt:variant>
        <vt:lpwstr/>
      </vt:variant>
      <vt:variant>
        <vt:lpwstr>_Toc177056294</vt:lpwstr>
      </vt:variant>
      <vt:variant>
        <vt:i4>2031665</vt:i4>
      </vt:variant>
      <vt:variant>
        <vt:i4>89</vt:i4>
      </vt:variant>
      <vt:variant>
        <vt:i4>0</vt:i4>
      </vt:variant>
      <vt:variant>
        <vt:i4>5</vt:i4>
      </vt:variant>
      <vt:variant>
        <vt:lpwstr/>
      </vt:variant>
      <vt:variant>
        <vt:lpwstr>_Toc177056293</vt:lpwstr>
      </vt:variant>
      <vt:variant>
        <vt:i4>2031665</vt:i4>
      </vt:variant>
      <vt:variant>
        <vt:i4>83</vt:i4>
      </vt:variant>
      <vt:variant>
        <vt:i4>0</vt:i4>
      </vt:variant>
      <vt:variant>
        <vt:i4>5</vt:i4>
      </vt:variant>
      <vt:variant>
        <vt:lpwstr/>
      </vt:variant>
      <vt:variant>
        <vt:lpwstr>_Toc177056292</vt:lpwstr>
      </vt:variant>
      <vt:variant>
        <vt:i4>2031665</vt:i4>
      </vt:variant>
      <vt:variant>
        <vt:i4>77</vt:i4>
      </vt:variant>
      <vt:variant>
        <vt:i4>0</vt:i4>
      </vt:variant>
      <vt:variant>
        <vt:i4>5</vt:i4>
      </vt:variant>
      <vt:variant>
        <vt:lpwstr/>
      </vt:variant>
      <vt:variant>
        <vt:lpwstr>_Toc177056291</vt:lpwstr>
      </vt:variant>
      <vt:variant>
        <vt:i4>2031665</vt:i4>
      </vt:variant>
      <vt:variant>
        <vt:i4>71</vt:i4>
      </vt:variant>
      <vt:variant>
        <vt:i4>0</vt:i4>
      </vt:variant>
      <vt:variant>
        <vt:i4>5</vt:i4>
      </vt:variant>
      <vt:variant>
        <vt:lpwstr/>
      </vt:variant>
      <vt:variant>
        <vt:lpwstr>_Toc177056290</vt:lpwstr>
      </vt:variant>
      <vt:variant>
        <vt:i4>1966129</vt:i4>
      </vt:variant>
      <vt:variant>
        <vt:i4>65</vt:i4>
      </vt:variant>
      <vt:variant>
        <vt:i4>0</vt:i4>
      </vt:variant>
      <vt:variant>
        <vt:i4>5</vt:i4>
      </vt:variant>
      <vt:variant>
        <vt:lpwstr/>
      </vt:variant>
      <vt:variant>
        <vt:lpwstr>_Toc177056289</vt:lpwstr>
      </vt:variant>
      <vt:variant>
        <vt:i4>1966129</vt:i4>
      </vt:variant>
      <vt:variant>
        <vt:i4>59</vt:i4>
      </vt:variant>
      <vt:variant>
        <vt:i4>0</vt:i4>
      </vt:variant>
      <vt:variant>
        <vt:i4>5</vt:i4>
      </vt:variant>
      <vt:variant>
        <vt:lpwstr/>
      </vt:variant>
      <vt:variant>
        <vt:lpwstr>_Toc177056288</vt:lpwstr>
      </vt:variant>
      <vt:variant>
        <vt:i4>1966129</vt:i4>
      </vt:variant>
      <vt:variant>
        <vt:i4>53</vt:i4>
      </vt:variant>
      <vt:variant>
        <vt:i4>0</vt:i4>
      </vt:variant>
      <vt:variant>
        <vt:i4>5</vt:i4>
      </vt:variant>
      <vt:variant>
        <vt:lpwstr/>
      </vt:variant>
      <vt:variant>
        <vt:lpwstr>_Toc177056287</vt:lpwstr>
      </vt:variant>
      <vt:variant>
        <vt:i4>1966129</vt:i4>
      </vt:variant>
      <vt:variant>
        <vt:i4>47</vt:i4>
      </vt:variant>
      <vt:variant>
        <vt:i4>0</vt:i4>
      </vt:variant>
      <vt:variant>
        <vt:i4>5</vt:i4>
      </vt:variant>
      <vt:variant>
        <vt:lpwstr/>
      </vt:variant>
      <vt:variant>
        <vt:lpwstr>_Toc177056286</vt:lpwstr>
      </vt:variant>
      <vt:variant>
        <vt:i4>1966129</vt:i4>
      </vt:variant>
      <vt:variant>
        <vt:i4>41</vt:i4>
      </vt:variant>
      <vt:variant>
        <vt:i4>0</vt:i4>
      </vt:variant>
      <vt:variant>
        <vt:i4>5</vt:i4>
      </vt:variant>
      <vt:variant>
        <vt:lpwstr/>
      </vt:variant>
      <vt:variant>
        <vt:lpwstr>_Toc177056285</vt:lpwstr>
      </vt:variant>
      <vt:variant>
        <vt:i4>1966129</vt:i4>
      </vt:variant>
      <vt:variant>
        <vt:i4>35</vt:i4>
      </vt:variant>
      <vt:variant>
        <vt:i4>0</vt:i4>
      </vt:variant>
      <vt:variant>
        <vt:i4>5</vt:i4>
      </vt:variant>
      <vt:variant>
        <vt:lpwstr/>
      </vt:variant>
      <vt:variant>
        <vt:lpwstr>_Toc177056284</vt:lpwstr>
      </vt:variant>
      <vt:variant>
        <vt:i4>1966129</vt:i4>
      </vt:variant>
      <vt:variant>
        <vt:i4>29</vt:i4>
      </vt:variant>
      <vt:variant>
        <vt:i4>0</vt:i4>
      </vt:variant>
      <vt:variant>
        <vt:i4>5</vt:i4>
      </vt:variant>
      <vt:variant>
        <vt:lpwstr/>
      </vt:variant>
      <vt:variant>
        <vt:lpwstr>_Toc177056283</vt:lpwstr>
      </vt:variant>
      <vt:variant>
        <vt:i4>1966129</vt:i4>
      </vt:variant>
      <vt:variant>
        <vt:i4>23</vt:i4>
      </vt:variant>
      <vt:variant>
        <vt:i4>0</vt:i4>
      </vt:variant>
      <vt:variant>
        <vt:i4>5</vt:i4>
      </vt:variant>
      <vt:variant>
        <vt:lpwstr/>
      </vt:variant>
      <vt:variant>
        <vt:lpwstr>_Toc177056282</vt:lpwstr>
      </vt:variant>
      <vt:variant>
        <vt:i4>1966129</vt:i4>
      </vt:variant>
      <vt:variant>
        <vt:i4>17</vt:i4>
      </vt:variant>
      <vt:variant>
        <vt:i4>0</vt:i4>
      </vt:variant>
      <vt:variant>
        <vt:i4>5</vt:i4>
      </vt:variant>
      <vt:variant>
        <vt:lpwstr/>
      </vt:variant>
      <vt:variant>
        <vt:lpwstr>_Toc177056281</vt:lpwstr>
      </vt:variant>
      <vt:variant>
        <vt:i4>1966129</vt:i4>
      </vt:variant>
      <vt:variant>
        <vt:i4>11</vt:i4>
      </vt:variant>
      <vt:variant>
        <vt:i4>0</vt:i4>
      </vt:variant>
      <vt:variant>
        <vt:i4>5</vt:i4>
      </vt:variant>
      <vt:variant>
        <vt:lpwstr/>
      </vt:variant>
      <vt:variant>
        <vt:lpwstr>_Toc177056280</vt:lpwstr>
      </vt:variant>
      <vt:variant>
        <vt:i4>1114161</vt:i4>
      </vt:variant>
      <vt:variant>
        <vt:i4>5</vt:i4>
      </vt:variant>
      <vt:variant>
        <vt:i4>0</vt:i4>
      </vt:variant>
      <vt:variant>
        <vt:i4>5</vt:i4>
      </vt:variant>
      <vt:variant>
        <vt:lpwstr/>
      </vt:variant>
      <vt:variant>
        <vt:lpwstr>_Toc177056279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IAMP Template</dc:title>
  <dc:subject>LGASA Sustainable AM initiative</dc:subject>
  <dc:creator>Puvaneswaran Jegan</dc:creator>
  <cp:lastModifiedBy>Nadia Milne</cp:lastModifiedBy>
  <cp:revision>21</cp:revision>
  <cp:lastPrinted>2021-09-29T05:00:00Z</cp:lastPrinted>
  <dcterms:created xsi:type="dcterms:W3CDTF">2021-08-06T06:09:00Z</dcterms:created>
  <dcterms:modified xsi:type="dcterms:W3CDTF">2021-09-29T05:01:00Z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