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25DCA4BB" w:rsidR="00ED6365" w:rsidRDefault="00E201D7" w:rsidP="00ED6365">
      <w:pPr>
        <w:pStyle w:val="NoSpacing"/>
      </w:pPr>
      <w:r>
        <w:t>1</w:t>
      </w:r>
      <w:r w:rsidR="005579CA">
        <w:t xml:space="preserve">1 </w:t>
      </w:r>
      <w:r>
        <w:t>August</w:t>
      </w:r>
      <w:r w:rsidR="007D026F">
        <w:t xml:space="preserve"> </w:t>
      </w:r>
      <w:r w:rsidR="00ED6365">
        <w:t>202</w:t>
      </w:r>
      <w:r>
        <w:t>3</w:t>
      </w:r>
    </w:p>
    <w:p w14:paraId="067E091E" w14:textId="77777777" w:rsidR="00801DF4" w:rsidRDefault="00801DF4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088464C" w14:textId="19E30046" w:rsidR="00590486" w:rsidRDefault="00E201D7" w:rsidP="00ED636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Coogee Live 2023 nominee in prestigious Australian Event Awards </w:t>
      </w:r>
    </w:p>
    <w:p w14:paraId="5D3F7E85" w14:textId="77777777" w:rsidR="005579CA" w:rsidRDefault="005579CA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7FA8B11" w14:textId="77777777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Main points:</w:t>
      </w:r>
    </w:p>
    <w:p w14:paraId="01B5DCA1" w14:textId="77777777" w:rsidR="00E201D7" w:rsidRPr="00E201D7" w:rsidRDefault="00E201D7" w:rsidP="00E201D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Coogee Live 2023 is a nominee in the prestigious Australian Event Awards for the second time in three years</w:t>
      </w:r>
    </w:p>
    <w:p w14:paraId="38DDAA9C" w14:textId="77777777" w:rsidR="00E201D7" w:rsidRPr="00E201D7" w:rsidRDefault="00E201D7" w:rsidP="00E201D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The much-loved free community event took out the Best Community Event category at the Australian Event Awards and Symposium in 2021</w:t>
      </w:r>
    </w:p>
    <w:p w14:paraId="2AE6FD44" w14:textId="77777777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The City of Cockburn’s weekend-long outdoor festival Coogee Live 2023 is a nominee in the prestigious Australian Event Awards for the second time in two years.</w:t>
      </w:r>
    </w:p>
    <w:p w14:paraId="7A8ED4F8" w14:textId="77777777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The much-loved free community event took out the Best Community Event category at the Australian Event Awards and Symposium in 2021.</w:t>
      </w:r>
    </w:p>
    <w:p w14:paraId="548D21EF" w14:textId="77777777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The festival of art and culture is a family-friendly celebration of community, diversity and connection, held along a 1.5km stretch of Coogee Beach.</w:t>
      </w:r>
    </w:p>
    <w:p w14:paraId="455BA0C5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The 2023 event, the City’s fifth, attracted 26,000+ visitors and was staged in collaboration with Hilton-based Butler &amp; Brown Events.</w:t>
      </w:r>
    </w:p>
    <w:p w14:paraId="67338253" w14:textId="77777777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It featured 180 program elements appealing to people of all ages, cultures and abilities.</w:t>
      </w:r>
    </w:p>
    <w:p w14:paraId="3E1BA569" w14:textId="1EC9C0C4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A highlight was the Radiate concert featuring Perth Symphony Orchestra and Vis</w:t>
      </w:r>
      <w:r w:rsidR="00FA627C">
        <w:rPr>
          <w:rFonts w:ascii="Arial" w:hAnsi="Arial" w:cs="Arial"/>
          <w:color w:val="2C2C2C"/>
          <w:shd w:val="clear" w:color="auto" w:fill="FFFFFF"/>
        </w:rPr>
        <w:t>A</w:t>
      </w:r>
      <w:r w:rsidRPr="00E201D7">
        <w:rPr>
          <w:rFonts w:ascii="Arial" w:hAnsi="Arial" w:cs="Arial"/>
          <w:color w:val="2C2C2C"/>
          <w:shd w:val="clear" w:color="auto" w:fill="FFFFFF"/>
        </w:rPr>
        <w:t>bility WA’s Grand Delusions, a band comprising musicians and performers with vision impairment and acquired brain injury.</w:t>
      </w:r>
    </w:p>
    <w:p w14:paraId="45A57F44" w14:textId="77777777" w:rsidR="00E201D7" w:rsidRPr="00E201D7" w:rsidRDefault="00E201D7" w:rsidP="00E201D7">
      <w:pPr>
        <w:rPr>
          <w:rFonts w:ascii="Arial" w:hAnsi="Arial" w:cs="Arial"/>
          <w:color w:val="2C2C2C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>This year’s festival kicked off with a unique Great Mermaid Migration which lured 67 merfolk and hundreds of mermaid-mad onlookers, many children, to Coogee Beach.</w:t>
      </w:r>
    </w:p>
    <w:p w14:paraId="79103089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 xml:space="preserve">First Nations traditions and art were shared and celebrated in many forms including yarning sessions with an Elder, Nyungar singing by local school students and </w:t>
      </w:r>
      <w:r w:rsidRPr="00E201D7">
        <w:rPr>
          <w:rStyle w:val="normaltextrun"/>
          <w:rFonts w:ascii="Arial" w:hAnsi="Arial" w:cs="Arial"/>
          <w:shd w:val="clear" w:color="auto" w:fill="FFFFFF"/>
        </w:rPr>
        <w:t>a melding of sand art and storytelling that culminated in a dance at dusk.</w:t>
      </w:r>
    </w:p>
    <w:p w14:paraId="7D22F9FE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lastRenderedPageBreak/>
        <w:t>Students from eight local schools were embraced in a variety of entertaining art-based incursions before and during the event, including lantern-making workshops and a sunset lantern parade along the beach.</w:t>
      </w:r>
    </w:p>
    <w:p w14:paraId="41DD79CA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Other elements included art and exercise-based activities to promote mental health, some audio described tours and lots of roles for volunteers of all ages.</w:t>
      </w:r>
    </w:p>
    <w:p w14:paraId="6895FF3D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Other popular offerings included a kitchen garden where the area’s passion for food and historic links to market gardening and fishing were celebrated with healthy cooking demonstrations and waterwise gardening workshops.</w:t>
      </w:r>
    </w:p>
    <w:p w14:paraId="5D6DC497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The City’s partnerships with sustainable providers supported its waste education and events teams which strived to create a waste wise event, resulting in less than 150kg of landfill created across the two days.</w:t>
      </w:r>
    </w:p>
    <w:p w14:paraId="571BB13E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Fonts w:ascii="Arial" w:hAnsi="Arial" w:cs="Arial"/>
          <w:color w:val="2C2C2C"/>
          <w:shd w:val="clear" w:color="auto" w:fill="FFFFFF"/>
        </w:rPr>
        <w:t xml:space="preserve">About 580kgs of recyclable and compostable waste and a record-breaking 32,000+ food containers and cutlery were diverted from landfill in keeping with the City’s </w:t>
      </w:r>
      <w:r w:rsidRPr="00E201D7">
        <w:rPr>
          <w:rStyle w:val="normaltextrun"/>
          <w:rFonts w:ascii="Arial" w:hAnsi="Arial" w:cs="Arial"/>
          <w:shd w:val="clear" w:color="auto" w:fill="FFFFFF"/>
        </w:rPr>
        <w:t>wastewise events policy.</w:t>
      </w:r>
    </w:p>
    <w:p w14:paraId="5C6B6FF0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The low-waste, no single-use plastic event began with a ban on the 80 bins usually located along the 1.5km coastal stretch, replaced with educators at dedicated waste sorting stations to help festival-goers sort items for disposal.</w:t>
      </w:r>
    </w:p>
    <w:p w14:paraId="20B230EB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A carbon neutral event, the City offset the event’s carbon emissions by investing in planting a mix of native species equivalent to 50 tonnes of Biodiverse Reforestation Carbon offsets.</w:t>
      </w:r>
    </w:p>
    <w:p w14:paraId="6F0B5BF8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City of Cockburn Head of Library and Cultural Services Brittany Cover said the event showcased Cockburn’s strong community culture along with the City’s attractiveness to visitors from far and wide.</w:t>
      </w:r>
    </w:p>
    <w:p w14:paraId="21D42691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>“The popular festival engenders and builds on the sense of pride and belonging in the diverse Cockburn community,” Ms Cover said.</w:t>
      </w:r>
    </w:p>
    <w:p w14:paraId="62D84AB0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 xml:space="preserve">“We have drawn upon our unique community to grow this award-winning event which is a significant element of its success and vibrancy. The City’s high-quality events are just another reason why people are seeking out Cockburn. </w:t>
      </w:r>
    </w:p>
    <w:p w14:paraId="1EB61CC1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lastRenderedPageBreak/>
        <w:t>“Cockburn is the best place to be and more people are demonstrating that every year by voting with their feet and coming along to Coogee Live along our fantastic coastline.”</w:t>
      </w:r>
    </w:p>
    <w:p w14:paraId="4B79D148" w14:textId="77777777" w:rsidR="00E201D7" w:rsidRPr="00E201D7" w:rsidRDefault="00E201D7" w:rsidP="00E201D7">
      <w:pPr>
        <w:rPr>
          <w:rStyle w:val="normaltextrun"/>
          <w:rFonts w:ascii="Arial" w:hAnsi="Arial" w:cs="Arial"/>
          <w:shd w:val="clear" w:color="auto" w:fill="FFFFFF"/>
        </w:rPr>
      </w:pPr>
      <w:r w:rsidRPr="00E201D7">
        <w:rPr>
          <w:rStyle w:val="normaltextrun"/>
          <w:rFonts w:ascii="Arial" w:hAnsi="Arial" w:cs="Arial"/>
          <w:shd w:val="clear" w:color="auto" w:fill="FFFFFF"/>
        </w:rPr>
        <w:t xml:space="preserve">The Australian Event Awards &amp; Symposium will be held in Sydney on 13 September.   </w:t>
      </w:r>
    </w:p>
    <w:p w14:paraId="45D1F2D6" w14:textId="7F815A97" w:rsidR="007D026F" w:rsidRPr="007D026F" w:rsidRDefault="007D026F" w:rsidP="007D026F">
      <w:pPr>
        <w:widowControl/>
        <w:autoSpaceDE/>
        <w:autoSpaceDN/>
        <w:adjustRightInd/>
        <w:spacing w:after="0" w:line="240" w:lineRule="auto"/>
        <w:textAlignment w:val="baseline"/>
        <w:rPr>
          <w:rFonts w:ascii="Arial" w:eastAsia="Times New Roman" w:hAnsi="Arial" w:cs="Arial"/>
          <w:color w:val="auto"/>
          <w:lang w:val="en-AU" w:eastAsia="en-AU"/>
        </w:rPr>
      </w:pPr>
      <w:r w:rsidRPr="007D026F">
        <w:rPr>
          <w:rFonts w:ascii="Arial" w:eastAsia="Times New Roman" w:hAnsi="Arial" w:cs="Arial"/>
          <w:color w:val="auto"/>
          <w:lang w:val="en-AU" w:eastAsia="en-AU"/>
        </w:rPr>
        <w:t> 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5F374AAD" w14:textId="6738B486" w:rsidR="00590486" w:rsidRDefault="00590486" w:rsidP="00ED6365">
      <w:pPr>
        <w:pStyle w:val="NoSpacing"/>
      </w:pPr>
    </w:p>
    <w:p w14:paraId="0572652E" w14:textId="10A049CA" w:rsidR="00590486" w:rsidRDefault="00590486" w:rsidP="00ED6365">
      <w:pPr>
        <w:pStyle w:val="NoSpacing"/>
      </w:pPr>
    </w:p>
    <w:p w14:paraId="703B8712" w14:textId="56B36A36" w:rsidR="00590486" w:rsidRDefault="00E201D7" w:rsidP="00ED6365">
      <w:pPr>
        <w:pStyle w:val="NoSpacing"/>
      </w:pPr>
      <w:r>
        <w:rPr>
          <w:noProof/>
        </w:rPr>
        <w:drawing>
          <wp:inline distT="0" distB="0" distL="0" distR="0" wp14:anchorId="1EB22D5E" wp14:editId="4D8DDF11">
            <wp:extent cx="4533900" cy="3162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D7E0" w14:textId="77777777" w:rsidR="00E201D7" w:rsidRDefault="00E201D7" w:rsidP="00ED6365">
      <w:pPr>
        <w:pStyle w:val="NoSpacing"/>
      </w:pPr>
    </w:p>
    <w:p w14:paraId="17977796" w14:textId="77777777" w:rsidR="00590486" w:rsidRDefault="00590486" w:rsidP="00ED6365">
      <w:pPr>
        <w:pStyle w:val="NoSpacing"/>
      </w:pPr>
    </w:p>
    <w:p w14:paraId="510A15E2" w14:textId="0AF670B2" w:rsidR="00801DF4" w:rsidRDefault="00801DF4" w:rsidP="00ED6365">
      <w:pPr>
        <w:pStyle w:val="NoSpacing"/>
      </w:pPr>
    </w:p>
    <w:p w14:paraId="25BD7FD4" w14:textId="71DDB484" w:rsidR="00801DF4" w:rsidRDefault="00801DF4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AC74B2" w:rsidRDefault="00FA627C" w:rsidP="00C55093">
      <w:pPr>
        <w:pStyle w:val="NoSpacing"/>
      </w:pPr>
    </w:p>
    <w:sectPr w:rsidR="00AC74B2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25A95"/>
    <w:multiLevelType w:val="hybridMultilevel"/>
    <w:tmpl w:val="A246F726"/>
    <w:lvl w:ilvl="0" w:tplc="1E062B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53400">
    <w:abstractNumId w:val="14"/>
  </w:num>
  <w:num w:numId="2" w16cid:durableId="791746073">
    <w:abstractNumId w:val="4"/>
  </w:num>
  <w:num w:numId="3" w16cid:durableId="1433748412">
    <w:abstractNumId w:val="5"/>
  </w:num>
  <w:num w:numId="4" w16cid:durableId="686948460">
    <w:abstractNumId w:val="12"/>
  </w:num>
  <w:num w:numId="5" w16cid:durableId="910043171">
    <w:abstractNumId w:val="8"/>
  </w:num>
  <w:num w:numId="6" w16cid:durableId="1171220814">
    <w:abstractNumId w:val="15"/>
  </w:num>
  <w:num w:numId="7" w16cid:durableId="2119519707">
    <w:abstractNumId w:val="9"/>
  </w:num>
  <w:num w:numId="8" w16cid:durableId="585192598">
    <w:abstractNumId w:val="2"/>
  </w:num>
  <w:num w:numId="9" w16cid:durableId="78143613">
    <w:abstractNumId w:val="6"/>
  </w:num>
  <w:num w:numId="10" w16cid:durableId="1771923137">
    <w:abstractNumId w:val="3"/>
  </w:num>
  <w:num w:numId="11" w16cid:durableId="1287616415">
    <w:abstractNumId w:val="11"/>
  </w:num>
  <w:num w:numId="12" w16cid:durableId="1263296879">
    <w:abstractNumId w:val="1"/>
  </w:num>
  <w:num w:numId="13" w16cid:durableId="147668836">
    <w:abstractNumId w:val="1"/>
  </w:num>
  <w:num w:numId="14" w16cid:durableId="1912616883">
    <w:abstractNumId w:val="0"/>
  </w:num>
  <w:num w:numId="15" w16cid:durableId="100731610">
    <w:abstractNumId w:val="7"/>
  </w:num>
  <w:num w:numId="16" w16cid:durableId="1840775422">
    <w:abstractNumId w:val="10"/>
  </w:num>
  <w:num w:numId="17" w16cid:durableId="493301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4914"/>
    <w:rsid w:val="00087002"/>
    <w:rsid w:val="000A0692"/>
    <w:rsid w:val="000B75B7"/>
    <w:rsid w:val="000D4270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2279D"/>
    <w:rsid w:val="004C3DBA"/>
    <w:rsid w:val="004E33FA"/>
    <w:rsid w:val="004E4ADE"/>
    <w:rsid w:val="005165D1"/>
    <w:rsid w:val="005579CA"/>
    <w:rsid w:val="00560B3F"/>
    <w:rsid w:val="00584556"/>
    <w:rsid w:val="0059048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026F"/>
    <w:rsid w:val="007D4108"/>
    <w:rsid w:val="00801DF4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2BE8"/>
    <w:rsid w:val="00994CF7"/>
    <w:rsid w:val="009C4D9F"/>
    <w:rsid w:val="009C56A0"/>
    <w:rsid w:val="009E6C41"/>
    <w:rsid w:val="009F71F5"/>
    <w:rsid w:val="00A3611C"/>
    <w:rsid w:val="00AB178C"/>
    <w:rsid w:val="00AD6AC1"/>
    <w:rsid w:val="00AE4924"/>
    <w:rsid w:val="00B04789"/>
    <w:rsid w:val="00B07BC9"/>
    <w:rsid w:val="00B1287E"/>
    <w:rsid w:val="00B20A85"/>
    <w:rsid w:val="00B27C15"/>
    <w:rsid w:val="00BA2EA1"/>
    <w:rsid w:val="00BA607B"/>
    <w:rsid w:val="00BB4D5D"/>
    <w:rsid w:val="00BD0578"/>
    <w:rsid w:val="00BD7901"/>
    <w:rsid w:val="00C258B1"/>
    <w:rsid w:val="00C43C99"/>
    <w:rsid w:val="00C55093"/>
    <w:rsid w:val="00C80D7E"/>
    <w:rsid w:val="00C963AD"/>
    <w:rsid w:val="00CC5E23"/>
    <w:rsid w:val="00D33215"/>
    <w:rsid w:val="00D37F50"/>
    <w:rsid w:val="00DB3A0A"/>
    <w:rsid w:val="00DF48A4"/>
    <w:rsid w:val="00E03E30"/>
    <w:rsid w:val="00E201D7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A627C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E20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79CA"/>
    <w:pPr>
      <w:widowControl/>
      <w:autoSpaceDE/>
      <w:autoSpaceDN/>
      <w:adjustRightInd/>
      <w:spacing w:after="0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01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3</cp:revision>
  <dcterms:created xsi:type="dcterms:W3CDTF">2023-08-16T03:16:00Z</dcterms:created>
  <dcterms:modified xsi:type="dcterms:W3CDTF">2023-08-16T03:58:00Z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