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4094" w14:textId="77777777" w:rsidR="00656C9D" w:rsidRPr="00F94F2C" w:rsidRDefault="00656C9D" w:rsidP="008261A2">
      <w:pPr>
        <w:tabs>
          <w:tab w:val="left" w:pos="9026"/>
        </w:tabs>
        <w:spacing w:before="2"/>
        <w:ind w:right="-46"/>
        <w:rPr>
          <w:rFonts w:ascii="Arial" w:hAnsi="Arial" w:cs="Arial"/>
          <w:b/>
        </w:rPr>
      </w:pPr>
      <w:bookmarkStart w:id="0" w:name="_top"/>
      <w:bookmarkEnd w:id="0"/>
    </w:p>
    <w:p w14:paraId="33F65CE3" w14:textId="77777777" w:rsidR="00DA2F4F" w:rsidRPr="00F94F2C" w:rsidRDefault="00DA2F4F" w:rsidP="008261A2">
      <w:pPr>
        <w:tabs>
          <w:tab w:val="left" w:pos="9026"/>
        </w:tabs>
        <w:spacing w:before="2"/>
        <w:ind w:right="-46"/>
        <w:rPr>
          <w:rFonts w:ascii="Arial" w:hAnsi="Arial" w:cs="Arial"/>
          <w:b/>
        </w:rPr>
      </w:pPr>
    </w:p>
    <w:p w14:paraId="0D563241" w14:textId="77777777" w:rsidR="00F94F2C" w:rsidRPr="00F94F2C" w:rsidRDefault="009A0A01" w:rsidP="008261A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2650CEF" wp14:editId="69AE047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57426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ED2AD86" w14:textId="77777777" w:rsidR="00656C9D" w:rsidRPr="00F94F2C" w:rsidRDefault="00656C9D" w:rsidP="008261A2">
      <w:pPr>
        <w:tabs>
          <w:tab w:val="left" w:pos="9026"/>
        </w:tabs>
        <w:spacing w:before="2"/>
        <w:ind w:right="-46"/>
        <w:rPr>
          <w:rFonts w:ascii="Arial" w:hAnsi="Arial" w:cs="Arial"/>
          <w:b/>
        </w:rPr>
      </w:pPr>
    </w:p>
    <w:p w14:paraId="3357B337" w14:textId="77777777" w:rsidR="00151611" w:rsidRPr="00F94F2C" w:rsidRDefault="00D9552F" w:rsidP="008261A2">
      <w:pPr>
        <w:tabs>
          <w:tab w:val="left" w:pos="9026"/>
        </w:tabs>
        <w:spacing w:before="2"/>
        <w:ind w:right="-46"/>
        <w:rPr>
          <w:rFonts w:ascii="Arial" w:hAnsi="Arial" w:cs="Arial"/>
        </w:rPr>
      </w:pPr>
      <w:r>
        <w:rPr>
          <w:rFonts w:ascii="Arial" w:hAnsi="Arial" w:cs="Arial"/>
        </w:rPr>
        <w:t>Local Planning Policy</w:t>
      </w:r>
    </w:p>
    <w:p w14:paraId="46830E09" w14:textId="77777777" w:rsidR="00151611" w:rsidRPr="00F94F2C" w:rsidRDefault="00151611" w:rsidP="008261A2">
      <w:pPr>
        <w:tabs>
          <w:tab w:val="left" w:pos="9026"/>
        </w:tabs>
        <w:spacing w:before="2"/>
        <w:ind w:right="-46"/>
        <w:rPr>
          <w:rFonts w:ascii="Arial" w:hAnsi="Arial" w:cs="Arial"/>
        </w:rPr>
      </w:pPr>
    </w:p>
    <w:p w14:paraId="2CBE4CEE" w14:textId="77777777" w:rsidR="00151611" w:rsidRPr="00F94F2C" w:rsidRDefault="00151611" w:rsidP="008261A2">
      <w:pPr>
        <w:tabs>
          <w:tab w:val="left" w:pos="9026"/>
        </w:tabs>
        <w:spacing w:before="2"/>
        <w:ind w:right="-46"/>
        <w:rPr>
          <w:rFonts w:ascii="Arial" w:hAnsi="Arial" w:cs="Arial"/>
        </w:rPr>
      </w:pPr>
    </w:p>
    <w:p w14:paraId="1B9A2240" w14:textId="77777777" w:rsidR="00656C9D" w:rsidRPr="00F94F2C" w:rsidRDefault="005C4E7D" w:rsidP="008261A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320B849" w14:textId="77777777" w:rsidR="00656C9D" w:rsidRPr="00F94F2C" w:rsidRDefault="009A0A01" w:rsidP="008261A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3EF1D2E" wp14:editId="173F4B8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FE21C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194A837E" w14:textId="77777777" w:rsidR="00EA4E39" w:rsidRPr="00C250B2" w:rsidRDefault="00EA4E39" w:rsidP="00983ED7">
      <w:pPr>
        <w:spacing w:after="240"/>
        <w:rPr>
          <w:rFonts w:ascii="Arial" w:hAnsi="Arial" w:cs="Arial"/>
        </w:rPr>
      </w:pPr>
      <w:r w:rsidRPr="00C250B2">
        <w:rPr>
          <w:rFonts w:ascii="Arial" w:hAnsi="Arial" w:cs="Arial"/>
        </w:rPr>
        <w:t>The effective management of land-use activities over the Jandakot Underground Water Mound is a matter of State planning significance. Land-use activities have the potential to adversely affect Perth’s drinking water. The Resource Zone in the City’s Town Planning Scheme No. 3 (TPS 3) and the Western Australian Planning Commission (WAPC) Statement of Planning Policy 2.3 Jandakot Groundwater Protection (SPP 2.3) specifically regulate activities such as the keeping of horses and other animals.</w:t>
      </w:r>
    </w:p>
    <w:p w14:paraId="5AA32A61" w14:textId="77777777" w:rsidR="00EA4E39" w:rsidRPr="00C250B2" w:rsidRDefault="00C250B2" w:rsidP="00983ED7">
      <w:pPr>
        <w:spacing w:after="240"/>
        <w:rPr>
          <w:rFonts w:ascii="Arial" w:hAnsi="Arial" w:cs="Arial"/>
        </w:rPr>
      </w:pPr>
      <w:r>
        <w:rPr>
          <w:rFonts w:ascii="Arial" w:hAnsi="Arial" w:cs="Arial"/>
        </w:rPr>
        <w:t xml:space="preserve">In </w:t>
      </w:r>
      <w:r w:rsidR="00EA4E39" w:rsidRPr="00C250B2">
        <w:rPr>
          <w:rFonts w:ascii="Arial" w:hAnsi="Arial" w:cs="Arial"/>
        </w:rPr>
        <w:t xml:space="preserve">accordance with SPP 2.3, applications for animal activities are to be referred to the Department of Water (DOW) for consideration, as they have the technical expertise to evaluate the implications on ground water supplies.  The guidelines used by the DOW are designed to protect the Jandakot underground water mound. The City is compelled to follow the DOW recommendation or refer the application to the WAPC for determination with its recommendation along with the DOW recommendation. </w:t>
      </w:r>
      <w:r w:rsidR="00983ED7" w:rsidRPr="00C250B2">
        <w:rPr>
          <w:rFonts w:ascii="Arial" w:hAnsi="Arial" w:cs="Arial"/>
        </w:rPr>
        <w:t xml:space="preserve">In those instances where the Council does not agree with the DOW advice. </w:t>
      </w:r>
      <w:r w:rsidR="00EA4E39" w:rsidRPr="00C250B2">
        <w:rPr>
          <w:rFonts w:ascii="Arial" w:hAnsi="Arial" w:cs="Arial"/>
        </w:rPr>
        <w:t xml:space="preserve">On environmental grounds, it is likely the DOW recommendation will be followed in most instances. </w:t>
      </w:r>
    </w:p>
    <w:p w14:paraId="409D9F29" w14:textId="77777777" w:rsidR="00C250B2" w:rsidRPr="00C250B2" w:rsidRDefault="00C250B2" w:rsidP="008261A2">
      <w:pPr>
        <w:rPr>
          <w:rFonts w:ascii="Arial" w:hAnsi="Arial" w:cs="Arial"/>
        </w:rPr>
      </w:pPr>
      <w:r w:rsidRPr="00C250B2">
        <w:rPr>
          <w:rFonts w:ascii="Arial" w:hAnsi="Arial" w:cs="Arial"/>
        </w:rPr>
        <w:t>The purpose of this policy is to provide guidance to landowners and the City when considering future applications for horse or other animal activities in the Resource Zone. The following approach intends to ensure that decisions are made on the basis of sound environmental resource management, for the purpose of achieving the objectives outlined in SPP 2.3.</w:t>
      </w:r>
    </w:p>
    <w:p w14:paraId="79EFAC27" w14:textId="77777777" w:rsidR="00151611" w:rsidRPr="00F94F2C" w:rsidRDefault="00151611" w:rsidP="008261A2">
      <w:pPr>
        <w:tabs>
          <w:tab w:val="left" w:pos="9026"/>
        </w:tabs>
        <w:spacing w:before="2"/>
        <w:ind w:right="-46"/>
        <w:rPr>
          <w:rFonts w:ascii="Arial" w:hAnsi="Arial" w:cs="Arial"/>
        </w:rPr>
      </w:pPr>
    </w:p>
    <w:p w14:paraId="7AAC4036" w14:textId="77777777" w:rsidR="00151611" w:rsidRPr="00F94F2C" w:rsidRDefault="00151611" w:rsidP="008261A2">
      <w:pPr>
        <w:tabs>
          <w:tab w:val="left" w:pos="9026"/>
        </w:tabs>
        <w:spacing w:before="2"/>
        <w:ind w:right="-46"/>
        <w:rPr>
          <w:rFonts w:ascii="Arial" w:hAnsi="Arial" w:cs="Arial"/>
        </w:rPr>
      </w:pPr>
    </w:p>
    <w:p w14:paraId="3D28551F" w14:textId="77777777" w:rsidR="00656C9D" w:rsidRPr="00F94F2C" w:rsidRDefault="005C4E7D" w:rsidP="008261A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F5669B1" w14:textId="77777777" w:rsidR="00656C9D" w:rsidRPr="00F94F2C" w:rsidRDefault="009A0A01" w:rsidP="008261A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241170A" wp14:editId="461DBFC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456182"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1218690" w14:textId="77777777" w:rsidR="00C250B2" w:rsidRPr="00C250B2" w:rsidRDefault="00C250B2" w:rsidP="00983ED7">
      <w:pPr>
        <w:spacing w:after="240"/>
        <w:ind w:left="720" w:hanging="720"/>
        <w:rPr>
          <w:rFonts w:ascii="Arial" w:hAnsi="Arial" w:cs="Arial"/>
        </w:rPr>
      </w:pPr>
      <w:bookmarkStart w:id="1" w:name="Bookmark2"/>
      <w:r w:rsidRPr="00C250B2">
        <w:rPr>
          <w:rFonts w:ascii="Arial" w:hAnsi="Arial" w:cs="Arial"/>
        </w:rPr>
        <w:t>(1)</w:t>
      </w:r>
      <w:r w:rsidRPr="00C250B2">
        <w:rPr>
          <w:rFonts w:ascii="Arial" w:hAnsi="Arial" w:cs="Arial"/>
        </w:rPr>
        <w:tab/>
        <w:t xml:space="preserve">Conditional approval may be granted where development applications for the proposed keeping of horses and other animals have been considered by the DOW to comply with the Environmental Guidelines for Horses Activities (December 2002). </w:t>
      </w:r>
    </w:p>
    <w:p w14:paraId="3E34254B" w14:textId="77777777" w:rsidR="00C250B2" w:rsidRPr="00C250B2" w:rsidRDefault="00C250B2" w:rsidP="00983ED7">
      <w:pPr>
        <w:spacing w:after="240"/>
        <w:ind w:left="720" w:hanging="720"/>
        <w:rPr>
          <w:rFonts w:ascii="Arial" w:hAnsi="Arial" w:cs="Arial"/>
        </w:rPr>
      </w:pPr>
      <w:r w:rsidRPr="00C250B2">
        <w:rPr>
          <w:rFonts w:ascii="Arial" w:hAnsi="Arial" w:cs="Arial"/>
        </w:rPr>
        <w:t>(2)</w:t>
      </w:r>
      <w:r w:rsidRPr="00C250B2">
        <w:rPr>
          <w:rFonts w:ascii="Arial" w:hAnsi="Arial" w:cs="Arial"/>
        </w:rPr>
        <w:tab/>
        <w:t>Where planning applications for the keeping of horses or other animals have been considered by the DOW to not comply with the Environmental Guidelines for Horse Activities (December 2002), then the applications concerned may be refused.</w:t>
      </w:r>
    </w:p>
    <w:p w14:paraId="7187860F" w14:textId="77777777" w:rsidR="00C250B2" w:rsidRPr="00C250B2" w:rsidRDefault="00C250B2" w:rsidP="00983ED7">
      <w:pPr>
        <w:spacing w:after="240"/>
        <w:ind w:left="720" w:right="162" w:hanging="720"/>
        <w:rPr>
          <w:rFonts w:ascii="Arial" w:hAnsi="Arial" w:cs="Arial"/>
        </w:rPr>
      </w:pPr>
      <w:r w:rsidRPr="00C250B2">
        <w:rPr>
          <w:rFonts w:ascii="Arial" w:hAnsi="Arial" w:cs="Arial"/>
        </w:rPr>
        <w:t>(3)</w:t>
      </w:r>
      <w:r w:rsidRPr="00C250B2">
        <w:rPr>
          <w:rFonts w:ascii="Arial" w:hAnsi="Arial" w:cs="Arial"/>
        </w:rPr>
        <w:tab/>
        <w:t>The City will acknowledge lawfully established non-conforming uses relating to the keeping of horses and other animals in the Resource Zone where past planning approvals exist.</w:t>
      </w:r>
    </w:p>
    <w:p w14:paraId="772EE927" w14:textId="77777777" w:rsidR="00C250B2" w:rsidRPr="00C250B2" w:rsidRDefault="00C250B2" w:rsidP="00983ED7">
      <w:pPr>
        <w:spacing w:after="240"/>
        <w:ind w:left="720" w:right="162" w:hanging="720"/>
        <w:rPr>
          <w:rFonts w:ascii="Arial" w:hAnsi="Arial" w:cs="Arial"/>
        </w:rPr>
      </w:pPr>
      <w:r w:rsidRPr="00C250B2">
        <w:rPr>
          <w:rFonts w:ascii="Arial" w:hAnsi="Arial" w:cs="Arial"/>
        </w:rPr>
        <w:t>(4)</w:t>
      </w:r>
      <w:r w:rsidRPr="00C250B2">
        <w:rPr>
          <w:rFonts w:ascii="Arial" w:hAnsi="Arial" w:cs="Arial"/>
        </w:rPr>
        <w:tab/>
        <w:t>Where retrospective development applications for the keeping of horses have been considered by the DOW to not comply with the Environmental Guidelines for Horse Activities (December 2002) or other relevant guidelines and advice to that effect is received by the City, then the applications concerned will be refused.</w:t>
      </w:r>
    </w:p>
    <w:p w14:paraId="5DB3792C" w14:textId="77777777" w:rsidR="00C250B2" w:rsidRPr="00C250B2" w:rsidRDefault="00C250B2" w:rsidP="00983ED7">
      <w:pPr>
        <w:spacing w:after="240"/>
        <w:ind w:left="720" w:right="162" w:hanging="720"/>
        <w:rPr>
          <w:rFonts w:ascii="Arial" w:hAnsi="Arial" w:cs="Arial"/>
        </w:rPr>
      </w:pPr>
      <w:r w:rsidRPr="00C250B2">
        <w:rPr>
          <w:rFonts w:ascii="Arial" w:hAnsi="Arial" w:cs="Arial"/>
        </w:rPr>
        <w:lastRenderedPageBreak/>
        <w:t>(5)</w:t>
      </w:r>
      <w:r w:rsidRPr="00C250B2">
        <w:rPr>
          <w:rFonts w:ascii="Arial" w:hAnsi="Arial" w:cs="Arial"/>
        </w:rPr>
        <w:tab/>
        <w:t>In refusing applications in accordance with clause 4 above, proponents will be given notice by the City to the effect that they will be given periods up to 12 months to ensure the animals concerned are removed from the property.</w:t>
      </w:r>
    </w:p>
    <w:p w14:paraId="493C7E80" w14:textId="77777777" w:rsidR="00C250B2" w:rsidRPr="00C250B2" w:rsidRDefault="00C250B2" w:rsidP="008261A2">
      <w:pPr>
        <w:suppressAutoHyphens/>
        <w:ind w:left="720" w:right="162" w:hanging="720"/>
        <w:rPr>
          <w:rFonts w:ascii="Arial" w:hAnsi="Arial" w:cs="Arial"/>
        </w:rPr>
      </w:pPr>
      <w:r w:rsidRPr="00C250B2">
        <w:rPr>
          <w:rFonts w:ascii="Arial" w:hAnsi="Arial" w:cs="Arial"/>
        </w:rPr>
        <w:t>(6)</w:t>
      </w:r>
      <w:r w:rsidRPr="00C250B2">
        <w:rPr>
          <w:rFonts w:ascii="Arial" w:hAnsi="Arial" w:cs="Arial"/>
        </w:rPr>
        <w:tab/>
        <w:t>In the event that landowners identified as requiring development approval (to keep horses and/or other animals) do not co-operate by applying for the planning consent within the time requested, then the City will give notice to the landowners concerned requiring the animals to be removed from the property within 3 months, or risk prosecution.</w:t>
      </w:r>
    </w:p>
    <w:p w14:paraId="30CDD575" w14:textId="77777777" w:rsidR="00C250B2" w:rsidRPr="00C250B2" w:rsidRDefault="00C250B2" w:rsidP="008261A2">
      <w:pPr>
        <w:ind w:left="720" w:hanging="720"/>
        <w:rPr>
          <w:rFonts w:ascii="Arial" w:hAnsi="Arial" w:cs="Arial"/>
        </w:rPr>
      </w:pPr>
    </w:p>
    <w:p w14:paraId="6382C4FD" w14:textId="77777777" w:rsidR="00C250B2" w:rsidRPr="00C250B2" w:rsidRDefault="00C250B2" w:rsidP="008261A2">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8261A2" w14:paraId="5A6EB0C7" w14:textId="77777777" w:rsidTr="00983ED7">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bookmarkEnd w:id="1"/>
          <w:p w14:paraId="2ACC15CC" w14:textId="77777777" w:rsidR="008261A2" w:rsidRDefault="008261A2">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26CFE8F" w14:textId="77777777" w:rsidR="008261A2" w:rsidRDefault="008261A2">
            <w:pPr>
              <w:rPr>
                <w:rFonts w:ascii="Arial" w:hAnsi="Arial" w:cs="Arial"/>
                <w:lang w:eastAsia="en-US"/>
              </w:rPr>
            </w:pPr>
            <w:r>
              <w:rPr>
                <w:rFonts w:ascii="Arial" w:hAnsi="Arial" w:cs="Arial"/>
                <w:lang w:eastAsia="en-US"/>
              </w:rPr>
              <w:t>Town Planning Scheme No. 3</w:t>
            </w:r>
          </w:p>
        </w:tc>
      </w:tr>
      <w:tr w:rsidR="008261A2" w14:paraId="2F5CF305" w14:textId="77777777" w:rsidTr="00983ED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380B3CF" w14:textId="77777777" w:rsidR="008261A2" w:rsidRDefault="005C4E7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8261A2">
                <w:rPr>
                  <w:rStyle w:val="Hyperlink"/>
                  <w:lang w:eastAsia="en-US"/>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5B7EED28" w14:textId="77777777" w:rsidR="008261A2" w:rsidRDefault="008261A2">
            <w:pPr>
              <w:rPr>
                <w:rFonts w:ascii="Arial" w:hAnsi="Arial" w:cs="Arial"/>
                <w:lang w:eastAsia="en-US"/>
              </w:rPr>
            </w:pPr>
            <w:r>
              <w:rPr>
                <w:rFonts w:ascii="Arial" w:hAnsi="Arial" w:cs="Arial"/>
                <w:lang w:eastAsia="en-US"/>
              </w:rPr>
              <w:t>Planning - Town Planning &amp; Development</w:t>
            </w:r>
          </w:p>
        </w:tc>
      </w:tr>
      <w:tr w:rsidR="008261A2" w14:paraId="0D6C0EEB" w14:textId="77777777" w:rsidTr="00983ED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BE3D857" w14:textId="77777777" w:rsidR="008261A2" w:rsidRDefault="005C4E7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8261A2">
                <w:rPr>
                  <w:rStyle w:val="Hyperlink"/>
                  <w:lang w:eastAsia="en-US"/>
                </w:rPr>
                <w:t>Lead Business Unit</w:t>
              </w:r>
            </w:hyperlink>
            <w:r w:rsidR="008261A2">
              <w:rPr>
                <w:rStyle w:val="Hyperlink"/>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EEF4D10" w14:textId="77777777" w:rsidR="008261A2" w:rsidRDefault="008261A2">
            <w:pPr>
              <w:rPr>
                <w:rFonts w:ascii="Arial" w:hAnsi="Arial" w:cs="Arial"/>
                <w:lang w:eastAsia="en-US"/>
              </w:rPr>
            </w:pPr>
            <w:r>
              <w:rPr>
                <w:rFonts w:ascii="Arial" w:hAnsi="Arial" w:cs="Arial"/>
                <w:lang w:eastAsia="en-US"/>
              </w:rPr>
              <w:t>Statutory Planning</w:t>
            </w:r>
          </w:p>
        </w:tc>
      </w:tr>
      <w:tr w:rsidR="008261A2" w14:paraId="44E52782" w14:textId="77777777" w:rsidTr="00983ED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5851861" w14:textId="77777777" w:rsidR="008261A2" w:rsidRDefault="005C4E7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8261A2">
                <w:rPr>
                  <w:rStyle w:val="Hyperlink"/>
                  <w:lang w:eastAsia="en-US"/>
                </w:rPr>
                <w:t>Public Consultation</w:t>
              </w:r>
            </w:hyperlink>
            <w:r w:rsidR="008261A2">
              <w:rPr>
                <w:rStyle w:val="Hyperlink"/>
                <w:lang w:eastAsia="en-US"/>
              </w:rPr>
              <w:t>:</w:t>
            </w:r>
          </w:p>
          <w:p w14:paraId="5E04EDE5" w14:textId="77777777" w:rsidR="008261A2" w:rsidRDefault="008261A2">
            <w:pPr>
              <w:spacing w:line="262" w:lineRule="exact"/>
              <w:ind w:left="105"/>
            </w:pPr>
            <w:r>
              <w:rPr>
                <w:rFonts w:ascii="Arial" w:hAnsi="Arial" w:cs="Arial"/>
                <w:b/>
                <w:sz w:val="18"/>
                <w:szCs w:val="18"/>
                <w:lang w:eastAsia="en-US"/>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E274DEB" w14:textId="77777777" w:rsidR="008261A2" w:rsidRDefault="008261A2">
            <w:pPr>
              <w:rPr>
                <w:rFonts w:ascii="Arial" w:hAnsi="Arial" w:cs="Arial"/>
                <w:lang w:eastAsia="en-US"/>
              </w:rPr>
            </w:pPr>
            <w:r>
              <w:rPr>
                <w:rFonts w:ascii="Arial" w:hAnsi="Arial" w:cs="Arial"/>
                <w:lang w:eastAsia="en-US"/>
              </w:rPr>
              <w:t>Yes</w:t>
            </w:r>
          </w:p>
        </w:tc>
      </w:tr>
      <w:tr w:rsidR="008261A2" w14:paraId="1E6EF078" w14:textId="77777777" w:rsidTr="00983ED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62978E0" w14:textId="77777777" w:rsidR="008261A2" w:rsidRDefault="005C4E7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8261A2">
                <w:rPr>
                  <w:rStyle w:val="Hyperlink"/>
                  <w:lang w:eastAsia="en-US"/>
                </w:rPr>
                <w:t>Adoption Date</w:t>
              </w:r>
            </w:hyperlink>
            <w:r w:rsidR="008261A2">
              <w:rPr>
                <w:rStyle w:val="Hyperlink"/>
                <w:lang w:eastAsia="en-US"/>
              </w:rPr>
              <w:t>:</w:t>
            </w:r>
          </w:p>
          <w:p w14:paraId="200EEA44" w14:textId="77777777" w:rsidR="008261A2" w:rsidRDefault="008261A2">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73DF1B7" w14:textId="0858F056" w:rsidR="008261A2" w:rsidRDefault="005C4E7D" w:rsidP="006246C7">
            <w:pPr>
              <w:rPr>
                <w:rFonts w:ascii="Arial" w:hAnsi="Arial" w:cs="Arial"/>
                <w:lang w:eastAsia="en-US"/>
              </w:rPr>
            </w:pPr>
            <w:r>
              <w:rPr>
                <w:rFonts w:ascii="Arial" w:hAnsi="Arial" w:cs="Arial"/>
                <w:lang w:eastAsia="en-US"/>
              </w:rPr>
              <w:t>10 November 2022</w:t>
            </w:r>
          </w:p>
        </w:tc>
      </w:tr>
      <w:tr w:rsidR="008261A2" w14:paraId="657C152E" w14:textId="77777777" w:rsidTr="00983ED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10BF028" w14:textId="77777777" w:rsidR="008261A2" w:rsidRDefault="005C4E7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8261A2">
                <w:rPr>
                  <w:rStyle w:val="Hyperlink"/>
                  <w:lang w:eastAsia="en-US"/>
                </w:rPr>
                <w:t>Next Review Due</w:t>
              </w:r>
            </w:hyperlink>
            <w:r w:rsidR="008261A2">
              <w:rPr>
                <w:rStyle w:val="Hyperlink"/>
                <w:lang w:eastAsia="en-US"/>
              </w:rPr>
              <w:t>:</w:t>
            </w:r>
          </w:p>
          <w:p w14:paraId="6208E9B9" w14:textId="77777777" w:rsidR="008261A2" w:rsidRDefault="008261A2">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AFB4B15" w14:textId="2D7F9280" w:rsidR="008261A2" w:rsidRDefault="005C4E7D" w:rsidP="006246C7">
            <w:pPr>
              <w:rPr>
                <w:rFonts w:ascii="Arial" w:hAnsi="Arial" w:cs="Arial"/>
                <w:lang w:eastAsia="en-US"/>
              </w:rPr>
            </w:pPr>
            <w:r>
              <w:rPr>
                <w:rFonts w:ascii="Arial" w:hAnsi="Arial" w:cs="Arial"/>
                <w:lang w:eastAsia="en-US"/>
              </w:rPr>
              <w:t>November 2024</w:t>
            </w:r>
          </w:p>
        </w:tc>
      </w:tr>
      <w:tr w:rsidR="008261A2" w14:paraId="7EB60A59" w14:textId="77777777" w:rsidTr="00983ED7">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64457A86" w14:textId="77777777" w:rsidR="008261A2" w:rsidRDefault="005C4E7D">
            <w:pPr>
              <w:spacing w:line="262" w:lineRule="exact"/>
              <w:ind w:left="105"/>
              <w:rPr>
                <w:rFonts w:ascii="Arial" w:hAnsi="Arial" w:cs="Arial"/>
                <w:color w:val="808080"/>
                <w:lang w:eastAsia="en-US"/>
              </w:rPr>
            </w:pPr>
            <w:hyperlink r:id="rId13" w:anchor="Bookmark3" w:tooltip="ECM Doc Set ID: this refers Doc Set ID in ECM" w:history="1">
              <w:r w:rsidR="008261A2">
                <w:rPr>
                  <w:rStyle w:val="Hyperlink"/>
                  <w:lang w:eastAsia="en-US"/>
                </w:rPr>
                <w:t>ECM Doc Set ID</w:t>
              </w:r>
            </w:hyperlink>
            <w:r w:rsidR="008261A2">
              <w:rPr>
                <w:rStyle w:val="Hyperlink"/>
                <w:lang w:eastAsia="en-US"/>
              </w:rPr>
              <w:t>:</w:t>
            </w:r>
          </w:p>
          <w:p w14:paraId="587A4756" w14:textId="77777777" w:rsidR="008261A2" w:rsidRDefault="008261A2">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660F9438" w14:textId="77777777" w:rsidR="008261A2" w:rsidRDefault="008261A2">
            <w:pPr>
              <w:jc w:val="both"/>
              <w:rPr>
                <w:rFonts w:ascii="Arial" w:hAnsi="Arial" w:cs="Arial"/>
                <w:lang w:eastAsia="en-US"/>
              </w:rPr>
            </w:pPr>
            <w:r w:rsidRPr="008261A2">
              <w:rPr>
                <w:rFonts w:ascii="Arial" w:hAnsi="Arial" w:cs="Arial"/>
                <w:lang w:eastAsia="en-US"/>
              </w:rPr>
              <w:t>4515281</w:t>
            </w:r>
          </w:p>
        </w:tc>
      </w:tr>
    </w:tbl>
    <w:p w14:paraId="28B7E8A7" w14:textId="77777777" w:rsidR="008261A2" w:rsidRPr="008816A0" w:rsidRDefault="008261A2" w:rsidP="008261A2"/>
    <w:sectPr w:rsidR="008261A2" w:rsidRPr="008816A0" w:rsidSect="00D9552F">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759B" w14:textId="77777777" w:rsidR="00D9552F" w:rsidRDefault="00D9552F">
      <w:r>
        <w:separator/>
      </w:r>
    </w:p>
  </w:endnote>
  <w:endnote w:type="continuationSeparator" w:id="0">
    <w:p w14:paraId="01C7C7A8"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4628"/>
      <w:docPartObj>
        <w:docPartGallery w:val="Page Numbers (Bottom of Page)"/>
        <w:docPartUnique/>
      </w:docPartObj>
    </w:sdtPr>
    <w:sdtEndPr>
      <w:rPr>
        <w:rFonts w:ascii="Arial" w:hAnsi="Arial" w:cs="Arial"/>
      </w:rPr>
    </w:sdtEndPr>
    <w:sdtContent>
      <w:p w14:paraId="298B11B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246C7">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CA1C" w14:textId="77777777" w:rsidR="00D9552F" w:rsidRDefault="00D9552F">
      <w:r>
        <w:separator/>
      </w:r>
    </w:p>
  </w:footnote>
  <w:footnote w:type="continuationSeparator" w:id="0">
    <w:p w14:paraId="654EBD59"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EAC5315" w14:textId="77777777" w:rsidTr="00623C8C">
      <w:trPr>
        <w:trHeight w:val="340"/>
        <w:tblCellSpacing w:w="20" w:type="dxa"/>
      </w:trPr>
      <w:tc>
        <w:tcPr>
          <w:tcW w:w="2088" w:type="dxa"/>
          <w:shd w:val="clear" w:color="auto" w:fill="auto"/>
          <w:vAlign w:val="center"/>
        </w:tcPr>
        <w:p w14:paraId="75199E30"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2D69F5B" w14:textId="77777777" w:rsidR="00623C8C" w:rsidRPr="008F01CB" w:rsidRDefault="009A0A01" w:rsidP="008F01CB">
          <w:pPr>
            <w:pStyle w:val="Header"/>
            <w:rPr>
              <w:rFonts w:ascii="Arial" w:hAnsi="Arial" w:cs="Arial"/>
              <w:b/>
              <w:caps/>
            </w:rPr>
          </w:pPr>
          <w:r w:rsidRPr="008F01CB">
            <w:rPr>
              <w:rFonts w:ascii="Arial" w:hAnsi="Arial" w:cs="Arial"/>
              <w:b/>
              <w:caps/>
              <w:noProof/>
            </w:rPr>
            <w:drawing>
              <wp:anchor distT="0" distB="0" distL="114300" distR="114300" simplePos="0" relativeHeight="251657216" behindDoc="0" locked="0" layoutInCell="1" allowOverlap="1" wp14:anchorId="33B5A039" wp14:editId="59D06BD2">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8F01CB" w:rsidRPr="008F01CB">
              <w:rPr>
                <w:rStyle w:val="Hyperlink"/>
                <w:rFonts w:cs="Arial"/>
                <w:b/>
              </w:rPr>
              <w:t xml:space="preserve">The Keeping of Horses </w:t>
            </w:r>
            <w:r w:rsidR="00031ABE">
              <w:rPr>
                <w:rStyle w:val="Hyperlink"/>
                <w:rFonts w:cs="Arial"/>
                <w:b/>
              </w:rPr>
              <w:t xml:space="preserve">&amp; </w:t>
            </w:r>
            <w:r w:rsidR="008F01CB" w:rsidRPr="008F01CB">
              <w:rPr>
                <w:rStyle w:val="Hyperlink"/>
                <w:rFonts w:cs="Arial"/>
                <w:b/>
              </w:rPr>
              <w:t>Other Animals in the Resource Zone</w:t>
            </w:r>
          </w:hyperlink>
        </w:p>
      </w:tc>
    </w:tr>
    <w:tr w:rsidR="00623C8C" w:rsidRPr="00F94F2C" w14:paraId="2C8DB223" w14:textId="77777777" w:rsidTr="00623C8C">
      <w:trPr>
        <w:trHeight w:val="340"/>
        <w:tblCellSpacing w:w="20" w:type="dxa"/>
      </w:trPr>
      <w:tc>
        <w:tcPr>
          <w:tcW w:w="2088" w:type="dxa"/>
          <w:shd w:val="clear" w:color="auto" w:fill="auto"/>
          <w:vAlign w:val="center"/>
        </w:tcPr>
        <w:p w14:paraId="23FC0B32" w14:textId="77777777" w:rsidR="00F94F2C" w:rsidRDefault="005C4E7D"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7464A58"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E9EC8E3" w14:textId="77777777" w:rsidR="00623C8C" w:rsidRPr="00F94F2C" w:rsidRDefault="008F01CB" w:rsidP="00623C8C">
          <w:pPr>
            <w:pStyle w:val="Header"/>
            <w:rPr>
              <w:rFonts w:ascii="Arial Bold" w:hAnsi="Arial Bold" w:cs="Arial"/>
              <w:b/>
              <w:caps/>
            </w:rPr>
          </w:pPr>
          <w:r>
            <w:rPr>
              <w:rFonts w:ascii="Arial Bold" w:hAnsi="Arial Bold" w:cs="Arial"/>
              <w:b/>
              <w:caps/>
            </w:rPr>
            <w:t>Lpp 2.3</w:t>
          </w:r>
        </w:p>
      </w:tc>
    </w:tr>
  </w:tbl>
  <w:p w14:paraId="52F7C45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3"/>
  </w:num>
  <w:num w:numId="4">
    <w:abstractNumId w:val="10"/>
  </w:num>
  <w:num w:numId="5">
    <w:abstractNumId w:val="5"/>
  </w:num>
  <w:num w:numId="6">
    <w:abstractNumId w:val="11"/>
  </w:num>
  <w:num w:numId="7">
    <w:abstractNumId w:val="13"/>
  </w:num>
  <w:num w:numId="8">
    <w:abstractNumId w:val="0"/>
  </w:num>
  <w:num w:numId="9">
    <w:abstractNumId w:val="6"/>
  </w:num>
  <w:num w:numId="10">
    <w:abstractNumId w:val="12"/>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31ABE"/>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23312"/>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4E7D"/>
    <w:rsid w:val="005D5E98"/>
    <w:rsid w:val="005E4CCF"/>
    <w:rsid w:val="005E6063"/>
    <w:rsid w:val="005E7982"/>
    <w:rsid w:val="00606E6A"/>
    <w:rsid w:val="0061091B"/>
    <w:rsid w:val="00613067"/>
    <w:rsid w:val="00620D57"/>
    <w:rsid w:val="006222BD"/>
    <w:rsid w:val="00622B74"/>
    <w:rsid w:val="00623C8C"/>
    <w:rsid w:val="006246C7"/>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243A"/>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261A2"/>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01CB"/>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83ED7"/>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6177AE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8823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a2acafda-0472-47d5-8c3e-281725c5cc63/ECM_4515281_v4_The-Keeping-of-Horses-Other-Animals-in-the-Resource-Zone-LPP2-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836D-8810-4F93-A2B8-E20FCFC9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38</TotalTime>
  <Pages>2</Pages>
  <Words>940</Words>
  <Characters>5161</Characters>
  <Application>Microsoft Office Word</Application>
  <DocSecurity>0</DocSecurity>
  <Lines>129</Lines>
  <Paragraphs>64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6037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2022-11-25T00:47:00Z</cp:lastPrinted>
  <dcterms:created xsi:type="dcterms:W3CDTF">2018-11-02T06:25:00Z</dcterms:created>
  <dcterms:modified xsi:type="dcterms:W3CDTF">2022-11-25T00:47:00Z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