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AFB94"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2B7080FD" wp14:editId="16113C2F">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C8C99D"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1862358F" w14:textId="77777777" w:rsidR="00656C9D" w:rsidRPr="00F94F2C" w:rsidRDefault="00656C9D" w:rsidP="00656C9D">
      <w:pPr>
        <w:tabs>
          <w:tab w:val="left" w:pos="9026"/>
        </w:tabs>
        <w:spacing w:before="2"/>
        <w:ind w:right="-46"/>
        <w:rPr>
          <w:rFonts w:ascii="Arial" w:hAnsi="Arial" w:cs="Arial"/>
          <w:b/>
        </w:rPr>
      </w:pPr>
    </w:p>
    <w:p w14:paraId="0AAD6BCB" w14:textId="77777777" w:rsidR="00151611" w:rsidRDefault="00FC29CE" w:rsidP="00656C9D">
      <w:pPr>
        <w:tabs>
          <w:tab w:val="left" w:pos="9026"/>
        </w:tabs>
        <w:spacing w:before="2"/>
        <w:ind w:right="-46"/>
        <w:rPr>
          <w:rFonts w:ascii="Arial" w:hAnsi="Arial" w:cs="Arial"/>
        </w:rPr>
      </w:pPr>
      <w:r>
        <w:rPr>
          <w:rFonts w:ascii="Arial" w:hAnsi="Arial" w:cs="Arial"/>
        </w:rPr>
        <w:t>Council</w:t>
      </w:r>
    </w:p>
    <w:p w14:paraId="3A0D111B" w14:textId="77777777" w:rsidR="00FC29CE" w:rsidRDefault="00FC29CE" w:rsidP="00FC29CE">
      <w:pPr>
        <w:tabs>
          <w:tab w:val="left" w:pos="3030"/>
        </w:tabs>
        <w:spacing w:before="2"/>
        <w:ind w:right="-46"/>
        <w:rPr>
          <w:rFonts w:ascii="Arial" w:hAnsi="Arial" w:cs="Arial"/>
        </w:rPr>
      </w:pPr>
    </w:p>
    <w:p w14:paraId="225601CA" w14:textId="77777777" w:rsidR="00FC29CE" w:rsidRPr="00F94F2C" w:rsidRDefault="00FC29CE" w:rsidP="00656C9D">
      <w:pPr>
        <w:tabs>
          <w:tab w:val="left" w:pos="9026"/>
        </w:tabs>
        <w:spacing w:before="2"/>
        <w:ind w:right="-46"/>
        <w:rPr>
          <w:rFonts w:ascii="Arial" w:hAnsi="Arial" w:cs="Arial"/>
        </w:rPr>
      </w:pPr>
    </w:p>
    <w:p w14:paraId="588F7913" w14:textId="77777777" w:rsidR="00656C9D" w:rsidRPr="00F94F2C" w:rsidRDefault="00F8769A"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1324ADD0"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2E3E9B7C" wp14:editId="32DFB7AB">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8014AF"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012CCB39" w14:textId="77777777" w:rsidR="00FC29CE" w:rsidRDefault="00FC29CE" w:rsidP="00FC29CE">
      <w:pPr>
        <w:tabs>
          <w:tab w:val="left" w:pos="9026"/>
        </w:tabs>
        <w:spacing w:before="2"/>
        <w:ind w:right="-46"/>
        <w:rPr>
          <w:rFonts w:ascii="Arial" w:hAnsi="Arial" w:cs="Arial"/>
        </w:rPr>
      </w:pPr>
      <w:r w:rsidRPr="00FC29CE">
        <w:rPr>
          <w:rFonts w:ascii="Arial" w:hAnsi="Arial" w:cs="Arial"/>
        </w:rPr>
        <w:t xml:space="preserve">To guide the </w:t>
      </w:r>
      <w:proofErr w:type="gramStart"/>
      <w:r w:rsidRPr="00FC29CE">
        <w:rPr>
          <w:rFonts w:ascii="Arial" w:hAnsi="Arial" w:cs="Arial"/>
        </w:rPr>
        <w:t>City</w:t>
      </w:r>
      <w:proofErr w:type="gramEnd"/>
      <w:r w:rsidRPr="00FC29CE">
        <w:rPr>
          <w:rFonts w:ascii="Arial" w:hAnsi="Arial" w:cs="Arial"/>
        </w:rPr>
        <w:t xml:space="preserve"> in its approach to seeking input from stakeholders on decisions which impact on them. This policy applies to all employees and consultants engaged by the City. </w:t>
      </w:r>
    </w:p>
    <w:p w14:paraId="2E7D0833" w14:textId="7E71C5B8" w:rsidR="00FC29CE" w:rsidRDefault="00FC29CE" w:rsidP="00FC29CE">
      <w:pPr>
        <w:tabs>
          <w:tab w:val="left" w:pos="9026"/>
        </w:tabs>
        <w:spacing w:before="2"/>
        <w:ind w:right="-46"/>
        <w:rPr>
          <w:rFonts w:ascii="Arial" w:hAnsi="Arial" w:cs="Arial"/>
        </w:rPr>
      </w:pPr>
    </w:p>
    <w:p w14:paraId="6DBB2E3C" w14:textId="77777777" w:rsidR="00416E2D" w:rsidRDefault="00416E2D" w:rsidP="00FC29CE">
      <w:pPr>
        <w:tabs>
          <w:tab w:val="left" w:pos="9026"/>
        </w:tabs>
        <w:spacing w:before="2"/>
        <w:ind w:right="-46"/>
        <w:rPr>
          <w:rFonts w:ascii="Arial" w:hAnsi="Arial" w:cs="Arial"/>
        </w:rPr>
      </w:pPr>
    </w:p>
    <w:p w14:paraId="71311490" w14:textId="77777777" w:rsidR="00656C9D" w:rsidRPr="00F94F2C" w:rsidRDefault="00F8769A"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02EECFD4"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4B95E9DF" wp14:editId="5139E62E">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E48E5D9"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6B939416" w14:textId="77777777" w:rsidR="00416E2D" w:rsidRDefault="00416E2D" w:rsidP="00416E2D">
      <w:pPr>
        <w:tabs>
          <w:tab w:val="left" w:pos="720"/>
          <w:tab w:val="left" w:pos="9026"/>
        </w:tabs>
        <w:spacing w:before="2"/>
        <w:ind w:right="-46"/>
        <w:rPr>
          <w:rFonts w:ascii="Arial" w:hAnsi="Arial" w:cs="Arial"/>
        </w:rPr>
      </w:pPr>
      <w:bookmarkStart w:id="0" w:name="Bookmark2"/>
      <w:r>
        <w:rPr>
          <w:rFonts w:ascii="Arial" w:hAnsi="Arial" w:cs="Arial"/>
        </w:rPr>
        <w:t>(1)</w:t>
      </w:r>
      <w:r>
        <w:rPr>
          <w:rFonts w:ascii="Arial" w:hAnsi="Arial" w:cs="Arial"/>
        </w:rPr>
        <w:tab/>
      </w:r>
      <w:r w:rsidRPr="00416E2D">
        <w:rPr>
          <w:rFonts w:ascii="Arial" w:hAnsi="Arial" w:cs="Arial"/>
          <w:u w:val="single"/>
        </w:rPr>
        <w:t>Vision</w:t>
      </w:r>
    </w:p>
    <w:p w14:paraId="2FD31DB6" w14:textId="77777777" w:rsidR="00416E2D" w:rsidRDefault="00416E2D" w:rsidP="00416E2D">
      <w:pPr>
        <w:tabs>
          <w:tab w:val="left" w:pos="720"/>
          <w:tab w:val="left" w:pos="9026"/>
        </w:tabs>
        <w:spacing w:before="2"/>
        <w:ind w:right="-46"/>
        <w:rPr>
          <w:rFonts w:ascii="Arial" w:hAnsi="Arial" w:cs="Arial"/>
        </w:rPr>
      </w:pPr>
    </w:p>
    <w:p w14:paraId="369097B2" w14:textId="77777777" w:rsidR="00416E2D" w:rsidRDefault="00416E2D" w:rsidP="00416E2D">
      <w:pPr>
        <w:tabs>
          <w:tab w:val="left" w:pos="720"/>
          <w:tab w:val="left" w:pos="9026"/>
        </w:tabs>
        <w:spacing w:before="2"/>
        <w:ind w:left="720" w:right="-46"/>
        <w:rPr>
          <w:rFonts w:ascii="Arial" w:hAnsi="Arial" w:cs="Arial"/>
        </w:rPr>
      </w:pPr>
      <w:r>
        <w:rPr>
          <w:rFonts w:ascii="Arial" w:hAnsi="Arial" w:cs="Arial"/>
        </w:rPr>
        <w:t xml:space="preserve">As a local government, everything we do is done with and/or on behalf of the community.  The </w:t>
      </w:r>
      <w:proofErr w:type="gramStart"/>
      <w:r>
        <w:rPr>
          <w:rFonts w:ascii="Arial" w:hAnsi="Arial" w:cs="Arial"/>
        </w:rPr>
        <w:t>City</w:t>
      </w:r>
      <w:proofErr w:type="gramEnd"/>
      <w:r>
        <w:rPr>
          <w:rFonts w:ascii="Arial" w:hAnsi="Arial" w:cs="Arial"/>
        </w:rPr>
        <w:t xml:space="preserve"> is committed to engaging with the community and stakeholders in a way that positively contributes to the City’s planning, decision-making, programs and service delivery.</w:t>
      </w:r>
    </w:p>
    <w:p w14:paraId="12F4C1FC" w14:textId="77777777" w:rsidR="00416E2D" w:rsidRDefault="00416E2D" w:rsidP="00416E2D">
      <w:pPr>
        <w:tabs>
          <w:tab w:val="left" w:pos="720"/>
          <w:tab w:val="left" w:pos="9026"/>
        </w:tabs>
        <w:spacing w:before="2"/>
        <w:ind w:left="720" w:right="-46"/>
        <w:rPr>
          <w:rFonts w:ascii="Arial" w:hAnsi="Arial" w:cs="Arial"/>
        </w:rPr>
      </w:pPr>
    </w:p>
    <w:p w14:paraId="53CC4478" w14:textId="77777777" w:rsidR="00416E2D" w:rsidRDefault="00416E2D" w:rsidP="00416E2D">
      <w:pPr>
        <w:tabs>
          <w:tab w:val="left" w:pos="720"/>
          <w:tab w:val="left" w:pos="9026"/>
        </w:tabs>
        <w:spacing w:before="2"/>
        <w:ind w:left="720" w:right="-46"/>
        <w:rPr>
          <w:rFonts w:ascii="Arial" w:hAnsi="Arial" w:cs="Arial"/>
        </w:rPr>
      </w:pPr>
      <w:r>
        <w:rPr>
          <w:rFonts w:ascii="Arial" w:hAnsi="Arial" w:cs="Arial"/>
        </w:rPr>
        <w:t>Community engagement activities support Council’s leadership role by providing relevant community and stakeholder insights in a timely way.</w:t>
      </w:r>
    </w:p>
    <w:p w14:paraId="6124DABB" w14:textId="77777777" w:rsidR="00416E2D" w:rsidRDefault="00416E2D" w:rsidP="00416E2D">
      <w:pPr>
        <w:tabs>
          <w:tab w:val="left" w:pos="720"/>
          <w:tab w:val="left" w:pos="9026"/>
        </w:tabs>
        <w:spacing w:before="2"/>
        <w:ind w:left="720" w:right="-46"/>
        <w:rPr>
          <w:rFonts w:ascii="Arial" w:hAnsi="Arial" w:cs="Arial"/>
        </w:rPr>
      </w:pPr>
    </w:p>
    <w:p w14:paraId="1EA7A0B4" w14:textId="7450FB8B" w:rsidR="00FC29CE" w:rsidRPr="00FC29CE" w:rsidRDefault="00416E2D" w:rsidP="00416E2D">
      <w:pPr>
        <w:tabs>
          <w:tab w:val="left" w:pos="720"/>
          <w:tab w:val="left" w:pos="9026"/>
        </w:tabs>
        <w:spacing w:before="2"/>
        <w:ind w:left="720" w:right="-46"/>
        <w:rPr>
          <w:rFonts w:ascii="Arial" w:hAnsi="Arial" w:cs="Arial"/>
        </w:rPr>
      </w:pPr>
      <w:r>
        <w:rPr>
          <w:rFonts w:ascii="Arial" w:hAnsi="Arial" w:cs="Arial"/>
        </w:rPr>
        <w:t>Community consultation is vital to effective decision-making. However, we acknowledge that it may not be possible to consult with the community on every issue. We will prioritise engagement on issues where community input will have the greatest impact whilst being prudent with when and how engagement is undertaken.</w:t>
      </w:r>
    </w:p>
    <w:p w14:paraId="5DFBB9B4" w14:textId="1D10198A" w:rsidR="00416E2D" w:rsidRDefault="00416E2D" w:rsidP="00906DB4">
      <w:pPr>
        <w:tabs>
          <w:tab w:val="left" w:pos="9026"/>
        </w:tabs>
        <w:spacing w:before="2"/>
        <w:ind w:right="-46"/>
        <w:rPr>
          <w:rFonts w:ascii="Arial" w:hAnsi="Arial" w:cs="Arial"/>
        </w:rPr>
      </w:pPr>
    </w:p>
    <w:p w14:paraId="0DB0933C" w14:textId="0F58165A" w:rsidR="00416E2D" w:rsidRDefault="00416E2D" w:rsidP="00416E2D">
      <w:pPr>
        <w:tabs>
          <w:tab w:val="left" w:pos="720"/>
          <w:tab w:val="left" w:pos="9026"/>
        </w:tabs>
        <w:spacing w:before="2"/>
        <w:ind w:right="-46"/>
        <w:rPr>
          <w:rFonts w:ascii="Arial" w:hAnsi="Arial" w:cs="Arial"/>
        </w:rPr>
      </w:pPr>
      <w:r>
        <w:rPr>
          <w:rFonts w:ascii="Arial" w:hAnsi="Arial" w:cs="Arial"/>
        </w:rPr>
        <w:t>(2)</w:t>
      </w:r>
      <w:r>
        <w:rPr>
          <w:rFonts w:ascii="Arial" w:hAnsi="Arial" w:cs="Arial"/>
        </w:rPr>
        <w:tab/>
      </w:r>
      <w:r w:rsidRPr="00416E2D">
        <w:rPr>
          <w:rFonts w:ascii="Arial" w:hAnsi="Arial" w:cs="Arial"/>
          <w:u w:val="single"/>
        </w:rPr>
        <w:t>Defining quality engagement</w:t>
      </w:r>
    </w:p>
    <w:p w14:paraId="415E3032" w14:textId="77777777" w:rsidR="00416E2D" w:rsidRDefault="00416E2D" w:rsidP="00416E2D">
      <w:pPr>
        <w:tabs>
          <w:tab w:val="left" w:pos="720"/>
          <w:tab w:val="left" w:pos="9026"/>
        </w:tabs>
        <w:spacing w:before="2"/>
        <w:ind w:right="-46"/>
        <w:rPr>
          <w:rFonts w:ascii="Arial" w:hAnsi="Arial" w:cs="Arial"/>
        </w:rPr>
      </w:pPr>
    </w:p>
    <w:p w14:paraId="241AC7E6" w14:textId="28E73660" w:rsidR="00416E2D" w:rsidRDefault="00416E2D" w:rsidP="00416E2D">
      <w:pPr>
        <w:tabs>
          <w:tab w:val="left" w:pos="9026"/>
        </w:tabs>
        <w:spacing w:before="2"/>
        <w:ind w:left="720" w:right="-46"/>
        <w:rPr>
          <w:rFonts w:ascii="Arial" w:hAnsi="Arial" w:cs="Arial"/>
        </w:rPr>
      </w:pPr>
      <w:r w:rsidRPr="00416E2D">
        <w:rPr>
          <w:rFonts w:ascii="Arial" w:hAnsi="Arial" w:cs="Arial"/>
        </w:rPr>
        <w:t xml:space="preserve">Community engagement is a planned process with the specific purpose of working across organisations, stakeholders, and communities to help the </w:t>
      </w:r>
      <w:proofErr w:type="gramStart"/>
      <w:r w:rsidRPr="00416E2D">
        <w:rPr>
          <w:rFonts w:ascii="Arial" w:hAnsi="Arial" w:cs="Arial"/>
        </w:rPr>
        <w:t>City</w:t>
      </w:r>
      <w:proofErr w:type="gramEnd"/>
      <w:r w:rsidRPr="00416E2D">
        <w:rPr>
          <w:rFonts w:ascii="Arial" w:hAnsi="Arial" w:cs="Arial"/>
        </w:rPr>
        <w:t xml:space="preserve"> shape decisions or actions related to a problem, opportunity or outcome. (Based on IAP2 definition).</w:t>
      </w:r>
    </w:p>
    <w:p w14:paraId="491DCA61" w14:textId="77777777" w:rsidR="00416E2D" w:rsidRPr="00416E2D" w:rsidRDefault="00416E2D" w:rsidP="00416E2D">
      <w:pPr>
        <w:tabs>
          <w:tab w:val="left" w:pos="9026"/>
        </w:tabs>
        <w:spacing w:before="2"/>
        <w:ind w:left="720" w:right="-46"/>
        <w:rPr>
          <w:rFonts w:ascii="Arial" w:hAnsi="Arial" w:cs="Arial"/>
        </w:rPr>
      </w:pPr>
    </w:p>
    <w:p w14:paraId="3273837B" w14:textId="77777777" w:rsidR="00416E2D" w:rsidRPr="00416E2D" w:rsidRDefault="00416E2D" w:rsidP="00416E2D">
      <w:pPr>
        <w:tabs>
          <w:tab w:val="left" w:pos="9026"/>
        </w:tabs>
        <w:spacing w:before="2"/>
        <w:ind w:left="720" w:right="-46"/>
        <w:rPr>
          <w:rFonts w:ascii="Arial" w:hAnsi="Arial" w:cs="Arial"/>
        </w:rPr>
      </w:pPr>
      <w:r w:rsidRPr="00416E2D">
        <w:rPr>
          <w:rFonts w:ascii="Arial" w:hAnsi="Arial" w:cs="Arial"/>
        </w:rPr>
        <w:t>Together, the community, stakeholders and City define ‘quality engagement’ as having the following attributes:</w:t>
      </w:r>
    </w:p>
    <w:p w14:paraId="1487DB5E" w14:textId="77777777" w:rsidR="00416E2D" w:rsidRPr="00416E2D" w:rsidRDefault="00416E2D" w:rsidP="00416E2D">
      <w:pPr>
        <w:tabs>
          <w:tab w:val="left" w:pos="9026"/>
        </w:tabs>
        <w:spacing w:before="2"/>
        <w:ind w:left="360" w:right="-46"/>
        <w:rPr>
          <w:rFonts w:ascii="Arial" w:hAnsi="Arial" w:cs="Arial"/>
        </w:rPr>
      </w:pPr>
    </w:p>
    <w:p w14:paraId="3AF76088" w14:textId="3C705CEE" w:rsidR="00416E2D" w:rsidRDefault="00416E2D" w:rsidP="00416E2D">
      <w:pPr>
        <w:pStyle w:val="ListParagraph"/>
        <w:numPr>
          <w:ilvl w:val="0"/>
          <w:numId w:val="18"/>
        </w:numPr>
        <w:tabs>
          <w:tab w:val="left" w:pos="9026"/>
        </w:tabs>
        <w:spacing w:before="2"/>
        <w:ind w:left="1080" w:right="-46"/>
        <w:rPr>
          <w:rFonts w:ascii="Arial" w:hAnsi="Arial" w:cs="Arial"/>
        </w:rPr>
      </w:pPr>
      <w:r w:rsidRPr="00416E2D">
        <w:rPr>
          <w:rFonts w:ascii="Arial" w:hAnsi="Arial" w:cs="Arial"/>
        </w:rPr>
        <w:t>Inclusive: engagement activities are accessible to people of all abilities and diverse backgrounds, and all community members can participate and have their voices heard.</w:t>
      </w:r>
    </w:p>
    <w:p w14:paraId="3DA9FC4A" w14:textId="77777777" w:rsidR="00416E2D" w:rsidRPr="00416E2D" w:rsidRDefault="00416E2D" w:rsidP="00416E2D">
      <w:pPr>
        <w:pStyle w:val="ListParagraph"/>
        <w:tabs>
          <w:tab w:val="left" w:pos="9026"/>
        </w:tabs>
        <w:spacing w:before="2"/>
        <w:ind w:left="1080" w:right="-46"/>
        <w:rPr>
          <w:rFonts w:ascii="Arial" w:hAnsi="Arial" w:cs="Arial"/>
        </w:rPr>
      </w:pPr>
    </w:p>
    <w:p w14:paraId="3F3F0627" w14:textId="3D4076F4" w:rsidR="00416E2D" w:rsidRDefault="00416E2D" w:rsidP="00416E2D">
      <w:pPr>
        <w:pStyle w:val="ListParagraph"/>
        <w:numPr>
          <w:ilvl w:val="0"/>
          <w:numId w:val="18"/>
        </w:numPr>
        <w:tabs>
          <w:tab w:val="left" w:pos="9026"/>
        </w:tabs>
        <w:spacing w:before="2"/>
        <w:ind w:left="1080" w:right="-46"/>
        <w:rPr>
          <w:rFonts w:ascii="Arial" w:hAnsi="Arial" w:cs="Arial"/>
        </w:rPr>
      </w:pPr>
      <w:r w:rsidRPr="00416E2D">
        <w:rPr>
          <w:rFonts w:ascii="Arial" w:hAnsi="Arial" w:cs="Arial"/>
        </w:rPr>
        <w:t>Fit for purpose: engagement methods and processes match the context and project purpose.</w:t>
      </w:r>
    </w:p>
    <w:p w14:paraId="6D2040D6" w14:textId="77777777" w:rsidR="00416E2D" w:rsidRPr="00416E2D" w:rsidRDefault="00416E2D" w:rsidP="00416E2D">
      <w:pPr>
        <w:pStyle w:val="ListParagraph"/>
        <w:tabs>
          <w:tab w:val="left" w:pos="9026"/>
        </w:tabs>
        <w:spacing w:before="2"/>
        <w:ind w:left="1080" w:right="-46"/>
        <w:rPr>
          <w:rFonts w:ascii="Arial" w:hAnsi="Arial" w:cs="Arial"/>
        </w:rPr>
      </w:pPr>
    </w:p>
    <w:p w14:paraId="6FDBE5EC" w14:textId="0964358D" w:rsidR="00416E2D" w:rsidRDefault="00416E2D" w:rsidP="00416E2D">
      <w:pPr>
        <w:pStyle w:val="ListParagraph"/>
        <w:numPr>
          <w:ilvl w:val="0"/>
          <w:numId w:val="18"/>
        </w:numPr>
        <w:tabs>
          <w:tab w:val="left" w:pos="9026"/>
        </w:tabs>
        <w:spacing w:before="2"/>
        <w:ind w:left="1080" w:right="-46"/>
        <w:rPr>
          <w:rFonts w:ascii="Arial" w:hAnsi="Arial" w:cs="Arial"/>
        </w:rPr>
      </w:pPr>
      <w:r w:rsidRPr="00416E2D">
        <w:rPr>
          <w:rFonts w:ascii="Arial" w:hAnsi="Arial" w:cs="Arial"/>
        </w:rPr>
        <w:t>Informative: people know how to be involved and have the information they need to participate in a meaningful way.</w:t>
      </w:r>
    </w:p>
    <w:p w14:paraId="64671399" w14:textId="77777777" w:rsidR="00416E2D" w:rsidRPr="00416E2D" w:rsidRDefault="00416E2D" w:rsidP="00416E2D">
      <w:pPr>
        <w:pStyle w:val="ListParagraph"/>
        <w:tabs>
          <w:tab w:val="left" w:pos="9026"/>
        </w:tabs>
        <w:spacing w:before="2"/>
        <w:ind w:left="1080" w:right="-46"/>
        <w:rPr>
          <w:rFonts w:ascii="Arial" w:hAnsi="Arial" w:cs="Arial"/>
        </w:rPr>
      </w:pPr>
    </w:p>
    <w:p w14:paraId="6210942E" w14:textId="77777777" w:rsidR="00416E2D" w:rsidRPr="00416E2D" w:rsidRDefault="00416E2D" w:rsidP="00416E2D">
      <w:pPr>
        <w:pStyle w:val="ListParagraph"/>
        <w:numPr>
          <w:ilvl w:val="0"/>
          <w:numId w:val="18"/>
        </w:numPr>
        <w:tabs>
          <w:tab w:val="left" w:pos="9026"/>
        </w:tabs>
        <w:spacing w:before="2"/>
        <w:ind w:left="1080" w:right="-46"/>
        <w:rPr>
          <w:rFonts w:ascii="Arial" w:hAnsi="Arial" w:cs="Arial"/>
        </w:rPr>
      </w:pPr>
      <w:r w:rsidRPr="00416E2D">
        <w:rPr>
          <w:rFonts w:ascii="Arial" w:hAnsi="Arial" w:cs="Arial"/>
        </w:rPr>
        <w:lastRenderedPageBreak/>
        <w:t>Transparent: the purpose, process, and outcomes of an engagement are clear, so participants understand how their input will be used in the decision-making process.</w:t>
      </w:r>
    </w:p>
    <w:p w14:paraId="65A3287A" w14:textId="77777777" w:rsidR="00416E2D" w:rsidRDefault="00416E2D" w:rsidP="00416E2D">
      <w:pPr>
        <w:pStyle w:val="ListParagraph"/>
        <w:tabs>
          <w:tab w:val="left" w:pos="9026"/>
        </w:tabs>
        <w:spacing w:before="2"/>
        <w:ind w:left="1080" w:right="-46"/>
        <w:rPr>
          <w:rFonts w:ascii="Arial" w:hAnsi="Arial" w:cs="Arial"/>
        </w:rPr>
      </w:pPr>
    </w:p>
    <w:p w14:paraId="311195E2" w14:textId="3F54BA6B" w:rsidR="00416E2D" w:rsidRDefault="00416E2D" w:rsidP="00416E2D">
      <w:pPr>
        <w:pStyle w:val="ListParagraph"/>
        <w:numPr>
          <w:ilvl w:val="0"/>
          <w:numId w:val="18"/>
        </w:numPr>
        <w:tabs>
          <w:tab w:val="left" w:pos="9026"/>
        </w:tabs>
        <w:spacing w:before="2"/>
        <w:ind w:left="1080" w:right="-46"/>
        <w:rPr>
          <w:rFonts w:ascii="Arial" w:hAnsi="Arial" w:cs="Arial"/>
        </w:rPr>
      </w:pPr>
      <w:r w:rsidRPr="00416E2D">
        <w:rPr>
          <w:rFonts w:ascii="Arial" w:hAnsi="Arial" w:cs="Arial"/>
        </w:rPr>
        <w:t xml:space="preserve">Timely: engagement activities are delivered in a timely manner allowing for participants to fully consider information and avoiding periods of national holiday including between Good Friday and Easter Monday, and Christmas to Australia Day. </w:t>
      </w:r>
    </w:p>
    <w:p w14:paraId="30807C81" w14:textId="77777777" w:rsidR="00416E2D" w:rsidRPr="00416E2D" w:rsidRDefault="00416E2D" w:rsidP="00416E2D">
      <w:pPr>
        <w:pStyle w:val="ListParagraph"/>
        <w:tabs>
          <w:tab w:val="left" w:pos="9026"/>
        </w:tabs>
        <w:spacing w:before="2"/>
        <w:ind w:left="1080" w:right="-46"/>
        <w:rPr>
          <w:rFonts w:ascii="Arial" w:hAnsi="Arial" w:cs="Arial"/>
        </w:rPr>
      </w:pPr>
    </w:p>
    <w:p w14:paraId="16E33C23" w14:textId="0AAFCB88" w:rsidR="00151611" w:rsidRPr="00FC29CE" w:rsidRDefault="00416E2D" w:rsidP="00416E2D">
      <w:pPr>
        <w:pStyle w:val="ListParagraph"/>
        <w:numPr>
          <w:ilvl w:val="0"/>
          <w:numId w:val="18"/>
        </w:numPr>
        <w:tabs>
          <w:tab w:val="left" w:pos="9026"/>
        </w:tabs>
        <w:spacing w:before="2"/>
        <w:ind w:left="1080" w:right="-46"/>
        <w:rPr>
          <w:rFonts w:ascii="Arial" w:hAnsi="Arial" w:cs="Arial"/>
        </w:rPr>
      </w:pPr>
      <w:r w:rsidRPr="00416E2D">
        <w:rPr>
          <w:rFonts w:ascii="Arial" w:hAnsi="Arial" w:cs="Arial"/>
        </w:rPr>
        <w:t xml:space="preserve">Meaningful: the input sought is used to the degree possible, considering the varying and sometimes competing needs within the community, and followed through in a timely way </w:t>
      </w:r>
    </w:p>
    <w:p w14:paraId="2686BEA4" w14:textId="77777777" w:rsidR="00945C6F" w:rsidRDefault="00945C6F" w:rsidP="00945C6F">
      <w:pPr>
        <w:pStyle w:val="ListParagraph"/>
        <w:tabs>
          <w:tab w:val="left" w:pos="9026"/>
        </w:tabs>
        <w:spacing w:before="2"/>
        <w:ind w:right="-46"/>
        <w:rPr>
          <w:rFonts w:ascii="Arial" w:hAnsi="Arial" w:cs="Arial"/>
        </w:rPr>
      </w:pPr>
    </w:p>
    <w:p w14:paraId="1A4C6EB3" w14:textId="64F94942" w:rsidR="00945C6F" w:rsidRPr="00416E2D" w:rsidRDefault="00416E2D" w:rsidP="00416E2D">
      <w:pPr>
        <w:tabs>
          <w:tab w:val="left" w:pos="810"/>
          <w:tab w:val="left" w:pos="9026"/>
        </w:tabs>
        <w:spacing w:before="2" w:after="240"/>
        <w:ind w:right="-46"/>
        <w:rPr>
          <w:rFonts w:ascii="Arial" w:hAnsi="Arial" w:cs="Arial"/>
        </w:rPr>
      </w:pPr>
      <w:r>
        <w:rPr>
          <w:rFonts w:ascii="Arial" w:hAnsi="Arial" w:cs="Arial"/>
        </w:rPr>
        <w:t>(3)</w:t>
      </w:r>
      <w:r>
        <w:rPr>
          <w:rFonts w:ascii="Arial" w:hAnsi="Arial" w:cs="Arial"/>
        </w:rPr>
        <w:tab/>
      </w:r>
      <w:r w:rsidRPr="00416E2D">
        <w:rPr>
          <w:rFonts w:ascii="Arial" w:hAnsi="Arial" w:cs="Arial"/>
          <w:u w:val="single"/>
        </w:rPr>
        <w:t>Inclusion</w:t>
      </w:r>
    </w:p>
    <w:p w14:paraId="38C43E84" w14:textId="58E5312A" w:rsidR="00416E2D" w:rsidRPr="00416E2D" w:rsidRDefault="00416E2D" w:rsidP="00416E2D">
      <w:pPr>
        <w:pStyle w:val="BodyText"/>
        <w:spacing w:before="184"/>
        <w:ind w:left="1440" w:right="7" w:hanging="720"/>
      </w:pPr>
      <w:r>
        <w:t>(a)</w:t>
      </w:r>
      <w:r>
        <w:tab/>
      </w:r>
      <w:r w:rsidRPr="00416E2D">
        <w:t>The City acknowledges the valuable insight of the Nyungar people as the Traditional Custodians of this land and commits to including and considering input from our Aboriginal and Torres Strait Island community through the Aboriginal Reference Group.</w:t>
      </w:r>
    </w:p>
    <w:p w14:paraId="5B9F156F" w14:textId="06F485B9" w:rsidR="00416E2D" w:rsidRDefault="00416E2D" w:rsidP="00416E2D">
      <w:pPr>
        <w:pStyle w:val="BodyText"/>
        <w:spacing w:before="184"/>
        <w:ind w:left="1440" w:right="7" w:hanging="720"/>
      </w:pPr>
      <w:r>
        <w:t>(b)</w:t>
      </w:r>
      <w:r>
        <w:tab/>
      </w:r>
      <w:r w:rsidRPr="00416E2D">
        <w:t xml:space="preserve">The City acknowledges the valuable insight of seniors; young people, Culturally and Linguistically diverse people, First Nations people; </w:t>
      </w:r>
      <w:r w:rsidRPr="00416E2D">
        <w:rPr>
          <w:color w:val="040C28"/>
        </w:rPr>
        <w:t>Lesbian, Gay, Bisexual, Transgender, Intersex, Queer, and Asexual</w:t>
      </w:r>
      <w:r w:rsidRPr="00416E2D">
        <w:t xml:space="preserve"> people, and people living with disabilities and actively seeks input from the community and relevant local Reference Groups.</w:t>
      </w:r>
    </w:p>
    <w:p w14:paraId="694057EA" w14:textId="6EE4D012" w:rsidR="00945C6F" w:rsidRPr="00416E2D" w:rsidRDefault="00416E2D" w:rsidP="00416E2D">
      <w:pPr>
        <w:pStyle w:val="BodyText"/>
        <w:spacing w:before="184"/>
        <w:ind w:left="1440" w:right="7" w:hanging="720"/>
      </w:pPr>
      <w:r>
        <w:t>(c)</w:t>
      </w:r>
      <w:r>
        <w:tab/>
      </w:r>
      <w:r w:rsidRPr="00416E2D">
        <w:t xml:space="preserve">The </w:t>
      </w:r>
      <w:proofErr w:type="gramStart"/>
      <w:r w:rsidRPr="00416E2D">
        <w:t>City</w:t>
      </w:r>
      <w:proofErr w:type="gramEnd"/>
      <w:r w:rsidRPr="00416E2D">
        <w:t xml:space="preserve"> seeks to ensure that Elected Members don’t unintentionally influence engagement in their role as decision makers by providing a dedicated activity or workshop on matters prior to decision making. Elected Members should only attend consultation sessions as an observer</w:t>
      </w:r>
      <w:r w:rsidR="00945C6F" w:rsidRPr="00416E2D">
        <w:t>.</w:t>
      </w:r>
    </w:p>
    <w:p w14:paraId="6479A16B" w14:textId="77777777" w:rsidR="00D63333" w:rsidRPr="00416E2D" w:rsidRDefault="00D63333" w:rsidP="00F8769A">
      <w:pPr>
        <w:pStyle w:val="ListParagraph"/>
        <w:rPr>
          <w:rFonts w:ascii="Arial" w:hAnsi="Arial" w:cs="Arial"/>
        </w:rPr>
      </w:pPr>
    </w:p>
    <w:p w14:paraId="293277EA" w14:textId="06D5BB53" w:rsidR="00D63333" w:rsidRPr="00416E2D" w:rsidRDefault="00416E2D" w:rsidP="00F8769A">
      <w:pPr>
        <w:tabs>
          <w:tab w:val="left" w:pos="810"/>
          <w:tab w:val="left" w:pos="9026"/>
        </w:tabs>
        <w:ind w:right="-46"/>
        <w:rPr>
          <w:rFonts w:ascii="Arial" w:hAnsi="Arial" w:cs="Arial"/>
        </w:rPr>
      </w:pPr>
      <w:r>
        <w:rPr>
          <w:rFonts w:ascii="Arial" w:hAnsi="Arial" w:cs="Arial"/>
        </w:rPr>
        <w:t>(4)</w:t>
      </w:r>
      <w:r>
        <w:rPr>
          <w:rFonts w:ascii="Arial" w:hAnsi="Arial" w:cs="Arial"/>
        </w:rPr>
        <w:tab/>
      </w:r>
      <w:r w:rsidRPr="00416E2D">
        <w:rPr>
          <w:rFonts w:ascii="Arial" w:hAnsi="Arial" w:cs="Arial"/>
          <w:u w:val="single"/>
        </w:rPr>
        <w:t>Implementation</w:t>
      </w:r>
    </w:p>
    <w:p w14:paraId="040CB703" w14:textId="77777777" w:rsidR="00F8769A" w:rsidRDefault="00F8769A" w:rsidP="00F8769A">
      <w:pPr>
        <w:pStyle w:val="BodyText"/>
        <w:ind w:left="1440" w:right="7" w:hanging="720"/>
      </w:pPr>
    </w:p>
    <w:p w14:paraId="102F1105" w14:textId="7BA1AA3C" w:rsidR="00945C6F" w:rsidRDefault="00416E2D" w:rsidP="00F8769A">
      <w:pPr>
        <w:pStyle w:val="BodyText"/>
        <w:ind w:left="1440" w:right="7" w:hanging="720"/>
      </w:pPr>
      <w:r>
        <w:t>(a)</w:t>
      </w:r>
      <w:r>
        <w:tab/>
        <w:t>The implementation of this policy will be guided by the Community Engagement Framework and other internal documents.</w:t>
      </w:r>
    </w:p>
    <w:p w14:paraId="28A588A7" w14:textId="71783EEA" w:rsidR="00416E2D" w:rsidRDefault="00416E2D" w:rsidP="00F8769A">
      <w:pPr>
        <w:pStyle w:val="BodyText"/>
        <w:ind w:left="1440" w:right="7" w:hanging="720"/>
      </w:pPr>
    </w:p>
    <w:p w14:paraId="2D128574" w14:textId="6E5A3B22" w:rsidR="00416E2D" w:rsidRDefault="00416E2D" w:rsidP="00F8769A">
      <w:pPr>
        <w:pStyle w:val="BodyText"/>
        <w:ind w:left="1440" w:right="7" w:hanging="720"/>
      </w:pPr>
      <w:r>
        <w:t>(b)</w:t>
      </w:r>
      <w:r>
        <w:tab/>
        <w:t>All Community Engagement programs and timelines must be agreed and approved by the Manager</w:t>
      </w:r>
      <w:r w:rsidR="00F8769A">
        <w:t xml:space="preserve"> Advocacy and Engagement.</w:t>
      </w:r>
    </w:p>
    <w:p w14:paraId="169B6CA8" w14:textId="7A3E5080" w:rsidR="00F8769A" w:rsidRPr="00F8769A" w:rsidRDefault="00F8769A" w:rsidP="00F8769A">
      <w:pPr>
        <w:pStyle w:val="BodyText"/>
        <w:ind w:left="720" w:right="7" w:hanging="720"/>
        <w:rPr>
          <w:bCs/>
        </w:rPr>
      </w:pPr>
    </w:p>
    <w:p w14:paraId="43A34020" w14:textId="31E4D059" w:rsidR="00F8769A" w:rsidRDefault="00F8769A" w:rsidP="00F8769A">
      <w:pPr>
        <w:pStyle w:val="BodyText"/>
        <w:ind w:left="720" w:right="7" w:hanging="720"/>
        <w:rPr>
          <w:bCs/>
        </w:rPr>
      </w:pPr>
      <w:r>
        <w:rPr>
          <w:bCs/>
        </w:rPr>
        <w:t>(5)</w:t>
      </w:r>
      <w:r>
        <w:rPr>
          <w:bCs/>
        </w:rPr>
        <w:tab/>
        <w:t>Parameters</w:t>
      </w:r>
    </w:p>
    <w:p w14:paraId="3219B442" w14:textId="1F251E39" w:rsidR="00F8769A" w:rsidRDefault="00F8769A" w:rsidP="00F8769A">
      <w:pPr>
        <w:pStyle w:val="BodyText"/>
        <w:ind w:left="720" w:right="7" w:hanging="720"/>
        <w:rPr>
          <w:bCs/>
        </w:rPr>
      </w:pPr>
    </w:p>
    <w:p w14:paraId="70F4AAC8" w14:textId="76D5A143" w:rsidR="00F8769A" w:rsidRPr="00F8769A" w:rsidRDefault="00F8769A" w:rsidP="00F8769A">
      <w:pPr>
        <w:pStyle w:val="BodyText"/>
        <w:ind w:left="1440" w:right="7" w:hanging="720"/>
        <w:rPr>
          <w:bCs/>
        </w:rPr>
      </w:pPr>
      <w:r>
        <w:rPr>
          <w:bCs/>
        </w:rPr>
        <w:t>(</w:t>
      </w:r>
      <w:r w:rsidRPr="00F8769A">
        <w:rPr>
          <w:bCs/>
        </w:rPr>
        <w:t>a)</w:t>
      </w:r>
      <w:r w:rsidRPr="00F8769A">
        <w:rPr>
          <w:bCs/>
        </w:rPr>
        <w:tab/>
        <w:t>This policy applies to City employees and to consultants engaged by the City. It also recognises the important role Elected Members play in facilitating dialogue and engagement with their constituents.</w:t>
      </w:r>
    </w:p>
    <w:p w14:paraId="7548BAC8" w14:textId="77777777" w:rsidR="00F8769A" w:rsidRPr="00F8769A" w:rsidRDefault="00F8769A" w:rsidP="00F8769A">
      <w:pPr>
        <w:pStyle w:val="BodyText"/>
        <w:ind w:left="1440" w:right="7" w:hanging="720"/>
        <w:rPr>
          <w:bCs/>
        </w:rPr>
      </w:pPr>
    </w:p>
    <w:p w14:paraId="02327BE1" w14:textId="7C9889DD" w:rsidR="00F8769A" w:rsidRPr="00F8769A" w:rsidRDefault="00F8769A" w:rsidP="00F8769A">
      <w:pPr>
        <w:pStyle w:val="BodyText"/>
        <w:ind w:left="1440" w:right="7" w:hanging="720"/>
        <w:rPr>
          <w:bCs/>
        </w:rPr>
      </w:pPr>
      <w:r>
        <w:rPr>
          <w:bCs/>
        </w:rPr>
        <w:t>(</w:t>
      </w:r>
      <w:r w:rsidRPr="00F8769A">
        <w:rPr>
          <w:bCs/>
        </w:rPr>
        <w:t>b)</w:t>
      </w:r>
      <w:r w:rsidRPr="00F8769A">
        <w:rPr>
          <w:bCs/>
        </w:rPr>
        <w:tab/>
        <w:t xml:space="preserve">This policy complements but does not supersede any statutory obligations defined by relevant Federal, State and Local legislation.   </w:t>
      </w:r>
    </w:p>
    <w:p w14:paraId="65C70588" w14:textId="625CE10E" w:rsidR="00F8769A" w:rsidRDefault="00F8769A" w:rsidP="00F8769A">
      <w:pPr>
        <w:pStyle w:val="BodyText"/>
        <w:ind w:left="1440" w:right="7" w:hanging="720"/>
        <w:rPr>
          <w:bCs/>
        </w:rPr>
      </w:pPr>
    </w:p>
    <w:p w14:paraId="2032C7D4" w14:textId="5728DF83" w:rsidR="00F8769A" w:rsidRDefault="00F8769A" w:rsidP="00F8769A">
      <w:pPr>
        <w:pStyle w:val="BodyText"/>
        <w:ind w:left="1440" w:right="7" w:hanging="720"/>
        <w:rPr>
          <w:bCs/>
        </w:rPr>
      </w:pPr>
    </w:p>
    <w:p w14:paraId="56139A14" w14:textId="77777777" w:rsidR="00F8769A" w:rsidRPr="00F8769A" w:rsidRDefault="00F8769A" w:rsidP="00F8769A">
      <w:pPr>
        <w:pStyle w:val="BodyText"/>
        <w:ind w:left="1440" w:right="7" w:hanging="720"/>
        <w:rPr>
          <w:bCs/>
        </w:rPr>
      </w:pPr>
    </w:p>
    <w:p w14:paraId="6E0526CE" w14:textId="77EA2A6F" w:rsidR="00F8769A" w:rsidRPr="00F8769A" w:rsidRDefault="00F8769A" w:rsidP="00F8769A">
      <w:pPr>
        <w:pStyle w:val="BodyText"/>
        <w:ind w:left="1440" w:right="7" w:hanging="720"/>
        <w:rPr>
          <w:bCs/>
        </w:rPr>
      </w:pPr>
      <w:r>
        <w:rPr>
          <w:bCs/>
        </w:rPr>
        <w:lastRenderedPageBreak/>
        <w:t>(</w:t>
      </w:r>
      <w:r w:rsidRPr="00F8769A">
        <w:rPr>
          <w:bCs/>
        </w:rPr>
        <w:t>c)</w:t>
      </w:r>
      <w:r w:rsidRPr="00F8769A">
        <w:rPr>
          <w:bCs/>
        </w:rPr>
        <w:tab/>
        <w:t>This policy excludes advertising, notification and other defined statutory requirements under the Planning and Development Regulations (Local Planning Schemes) 2015</w:t>
      </w:r>
      <w:r>
        <w:rPr>
          <w:bCs/>
        </w:rPr>
        <w:t>.</w:t>
      </w:r>
    </w:p>
    <w:p w14:paraId="71D747DD" w14:textId="6AECDCBF" w:rsidR="00F8769A" w:rsidRPr="00F8769A" w:rsidRDefault="00F8769A" w:rsidP="00F8769A">
      <w:pPr>
        <w:pStyle w:val="BodyText"/>
        <w:ind w:left="720" w:right="7" w:hanging="720"/>
        <w:rPr>
          <w:bCs/>
        </w:rPr>
      </w:pPr>
    </w:p>
    <w:p w14:paraId="1BDD8825" w14:textId="77777777" w:rsidR="00F8769A" w:rsidRPr="00F8769A" w:rsidRDefault="00F8769A" w:rsidP="00F8769A">
      <w:pPr>
        <w:pStyle w:val="BodyText"/>
        <w:ind w:left="720" w:right="7" w:hanging="720"/>
        <w:rPr>
          <w:bCs/>
        </w:rPr>
      </w:pPr>
    </w:p>
    <w:p w14:paraId="78ACAB74" w14:textId="77777777" w:rsidR="000E1BF6" w:rsidRPr="00721265" w:rsidRDefault="004A46E4" w:rsidP="00BA0F37">
      <w:pPr>
        <w:rPr>
          <w:rFonts w:ascii="Arial" w:hAnsi="Arial" w:cs="Arial"/>
          <w:b/>
          <w:color w:val="FFFFFF"/>
          <w:sz w:val="4"/>
          <w:szCs w:val="4"/>
        </w:rPr>
      </w:pPr>
      <w:proofErr w:type="spellStart"/>
      <w:r w:rsidRPr="00721265">
        <w:rPr>
          <w:rFonts w:ascii="Arial" w:hAnsi="Arial" w:cs="Arial"/>
          <w:b/>
          <w:color w:val="FFFFFF"/>
          <w:sz w:val="4"/>
          <w:szCs w:val="4"/>
        </w:rPr>
        <w:t>ookmark</w:t>
      </w:r>
      <w:proofErr w:type="spellEnd"/>
      <w:r w:rsidRPr="00721265">
        <w:rPr>
          <w:rFonts w:ascii="Arial" w:hAnsi="Arial" w:cs="Arial"/>
          <w:b/>
          <w:color w:val="FFFFFF"/>
          <w:sz w:val="4"/>
          <w:szCs w:val="4"/>
        </w:rPr>
        <w:t xml:space="preserve"> 2</w:t>
      </w:r>
      <w:bookmarkEnd w:id="0"/>
    </w:p>
    <w:p w14:paraId="133A7BA7" w14:textId="77777777" w:rsidR="002C51C6" w:rsidRPr="00721265" w:rsidRDefault="002C51C6" w:rsidP="00BA0F37">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5BF2A88E"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45A6688B"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1C058326" w14:textId="77777777" w:rsidR="00D63333" w:rsidRDefault="00124F6A" w:rsidP="00124F6A">
            <w:pPr>
              <w:spacing w:line="262" w:lineRule="exact"/>
              <w:ind w:left="105"/>
              <w:rPr>
                <w:rFonts w:ascii="Arial" w:hAnsi="Arial" w:cs="Arial"/>
              </w:rPr>
            </w:pPr>
            <w:r w:rsidRPr="00124F6A">
              <w:rPr>
                <w:rFonts w:ascii="Arial" w:hAnsi="Arial" w:cs="Arial"/>
              </w:rPr>
              <w:t>City of Cockburn’s Strategic</w:t>
            </w:r>
            <w:r>
              <w:rPr>
                <w:rFonts w:ascii="Arial" w:hAnsi="Arial" w:cs="Arial"/>
              </w:rPr>
              <w:t xml:space="preserve"> </w:t>
            </w:r>
            <w:r w:rsidRPr="00124F6A">
              <w:rPr>
                <w:rFonts w:ascii="Arial" w:hAnsi="Arial" w:cs="Arial"/>
              </w:rPr>
              <w:t>Community Plan</w:t>
            </w:r>
          </w:p>
          <w:p w14:paraId="1A851CCD" w14:textId="77777777" w:rsidR="00D63333" w:rsidRDefault="00D63333" w:rsidP="00124F6A">
            <w:pPr>
              <w:spacing w:line="262" w:lineRule="exact"/>
              <w:ind w:left="105"/>
              <w:rPr>
                <w:rFonts w:ascii="Arial" w:hAnsi="Arial" w:cs="Arial"/>
              </w:rPr>
            </w:pPr>
            <w:r>
              <w:rPr>
                <w:rFonts w:ascii="Arial" w:hAnsi="Arial" w:cs="Arial"/>
              </w:rPr>
              <w:t>Community Engagement Framework</w:t>
            </w:r>
          </w:p>
          <w:p w14:paraId="7FAEAFB2" w14:textId="77777777" w:rsidR="00124F6A" w:rsidRPr="00124F6A" w:rsidRDefault="00124F6A" w:rsidP="00124F6A">
            <w:pPr>
              <w:spacing w:line="262" w:lineRule="exact"/>
              <w:ind w:left="105"/>
              <w:rPr>
                <w:rFonts w:ascii="Arial" w:hAnsi="Arial" w:cs="Arial"/>
              </w:rPr>
            </w:pPr>
            <w:r w:rsidRPr="00124F6A">
              <w:rPr>
                <w:rFonts w:ascii="Arial" w:hAnsi="Arial" w:cs="Arial"/>
              </w:rPr>
              <w:t>Cockburn Community Development Strategic Plan</w:t>
            </w:r>
          </w:p>
          <w:p w14:paraId="6B974DF3" w14:textId="77777777" w:rsidR="00124F6A" w:rsidRDefault="00124F6A" w:rsidP="00124F6A">
            <w:pPr>
              <w:spacing w:line="262" w:lineRule="exact"/>
              <w:ind w:left="105"/>
              <w:rPr>
                <w:rFonts w:ascii="Arial" w:hAnsi="Arial" w:cs="Arial"/>
              </w:rPr>
            </w:pPr>
            <w:r w:rsidRPr="00124F6A">
              <w:rPr>
                <w:rFonts w:ascii="Arial" w:hAnsi="Arial" w:cs="Arial"/>
              </w:rPr>
              <w:t xml:space="preserve">Communications Strategy and Action Plan </w:t>
            </w:r>
          </w:p>
          <w:p w14:paraId="26966115" w14:textId="77777777" w:rsidR="000D7CF2" w:rsidRDefault="00124F6A" w:rsidP="00124F6A">
            <w:pPr>
              <w:spacing w:line="262" w:lineRule="exact"/>
              <w:ind w:left="105"/>
              <w:rPr>
                <w:rFonts w:ascii="Arial" w:hAnsi="Arial" w:cs="Arial"/>
              </w:rPr>
            </w:pPr>
            <w:r w:rsidRPr="00124F6A">
              <w:rPr>
                <w:rFonts w:ascii="Arial" w:hAnsi="Arial" w:cs="Arial"/>
              </w:rPr>
              <w:t>Disability Access and Inclusion Plan</w:t>
            </w:r>
          </w:p>
          <w:p w14:paraId="00551AD2" w14:textId="490AC3E9" w:rsidR="00D63333" w:rsidRPr="00F94F2C" w:rsidRDefault="000D7CF2" w:rsidP="00F8769A">
            <w:pPr>
              <w:spacing w:line="262" w:lineRule="exact"/>
              <w:ind w:left="105"/>
              <w:rPr>
                <w:rFonts w:ascii="Arial" w:hAnsi="Arial" w:cs="Arial"/>
              </w:rPr>
            </w:pPr>
            <w:r>
              <w:rPr>
                <w:rFonts w:ascii="Arial" w:hAnsi="Arial" w:cs="Arial"/>
              </w:rPr>
              <w:t>Reconciliation Action Plan</w:t>
            </w:r>
            <w:r w:rsidR="00124F6A" w:rsidRPr="00124F6A">
              <w:rPr>
                <w:rFonts w:ascii="Arial" w:hAnsi="Arial" w:cs="Arial"/>
              </w:rPr>
              <w:t xml:space="preserve"> </w:t>
            </w:r>
          </w:p>
        </w:tc>
      </w:tr>
      <w:tr w:rsidR="000E59C0" w:rsidRPr="00F94F2C" w14:paraId="42CC74CC"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7392742" w14:textId="77777777" w:rsidR="00122F79" w:rsidRPr="00F94F2C" w:rsidRDefault="00F8769A"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36A3BE68" w14:textId="77777777" w:rsidR="00122F79" w:rsidRPr="00F94F2C" w:rsidRDefault="007E252D" w:rsidP="007E252D">
            <w:pPr>
              <w:rPr>
                <w:rFonts w:ascii="Arial" w:hAnsi="Arial" w:cs="Arial"/>
              </w:rPr>
            </w:pPr>
            <w:r>
              <w:rPr>
                <w:rFonts w:ascii="Arial" w:hAnsi="Arial" w:cs="Arial"/>
              </w:rPr>
              <w:t>Community Support</w:t>
            </w:r>
          </w:p>
        </w:tc>
      </w:tr>
      <w:tr w:rsidR="000E59C0" w:rsidRPr="00F94F2C" w14:paraId="21D54D7A"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8A987DB" w14:textId="77777777" w:rsidR="00122F79" w:rsidRPr="00F94F2C" w:rsidRDefault="00F8769A"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5ACDBCEA" w14:textId="77777777" w:rsidR="00122F79" w:rsidRPr="00F94F2C" w:rsidRDefault="00124F6A" w:rsidP="00124F6A">
            <w:pPr>
              <w:rPr>
                <w:rFonts w:ascii="Arial" w:hAnsi="Arial" w:cs="Arial"/>
              </w:rPr>
            </w:pPr>
            <w:r>
              <w:rPr>
                <w:rFonts w:ascii="Arial" w:hAnsi="Arial" w:cs="Arial"/>
              </w:rPr>
              <w:t>Community Development</w:t>
            </w:r>
            <w:r w:rsidR="007C3CA6">
              <w:rPr>
                <w:rFonts w:ascii="Arial" w:hAnsi="Arial" w:cs="Arial"/>
              </w:rPr>
              <w:t xml:space="preserve"> &amp; Services</w:t>
            </w:r>
          </w:p>
        </w:tc>
      </w:tr>
      <w:tr w:rsidR="000E59C0" w:rsidRPr="00F94F2C" w14:paraId="79D5764B"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F0A0D73" w14:textId="77777777" w:rsidR="00F94F2C" w:rsidRDefault="00F8769A"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0FB2BD3C"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 xml:space="preserve">(Yes or </w:t>
            </w:r>
            <w:proofErr w:type="gramStart"/>
            <w:r w:rsidRPr="00F94F2C">
              <w:rPr>
                <w:rFonts w:ascii="Arial" w:hAnsi="Arial" w:cs="Arial"/>
                <w:b/>
                <w:sz w:val="18"/>
                <w:szCs w:val="18"/>
              </w:rPr>
              <w:t>No</w:t>
            </w:r>
            <w:proofErr w:type="gramEnd"/>
            <w:r w:rsidRPr="00F94F2C">
              <w:rPr>
                <w:rFonts w:ascii="Arial" w:hAnsi="Arial" w:cs="Arial"/>
                <w:b/>
                <w:sz w:val="18"/>
                <w:szCs w:val="18"/>
              </w:rPr>
              <w:t>)</w:t>
            </w:r>
          </w:p>
        </w:tc>
        <w:tc>
          <w:tcPr>
            <w:tcW w:w="6177" w:type="dxa"/>
            <w:shd w:val="clear" w:color="auto" w:fill="auto"/>
            <w:vAlign w:val="center"/>
          </w:tcPr>
          <w:p w14:paraId="57127313" w14:textId="77777777" w:rsidR="00122F79" w:rsidRPr="00F94F2C" w:rsidRDefault="00124F6A" w:rsidP="00BA0F37">
            <w:pPr>
              <w:rPr>
                <w:rFonts w:ascii="Arial" w:hAnsi="Arial" w:cs="Arial"/>
              </w:rPr>
            </w:pPr>
            <w:r>
              <w:rPr>
                <w:rFonts w:ascii="Arial" w:hAnsi="Arial" w:cs="Arial"/>
              </w:rPr>
              <w:t>Y</w:t>
            </w:r>
            <w:r w:rsidR="00906DB4">
              <w:rPr>
                <w:rFonts w:ascii="Arial" w:hAnsi="Arial" w:cs="Arial"/>
              </w:rPr>
              <w:t>es</w:t>
            </w:r>
          </w:p>
        </w:tc>
      </w:tr>
      <w:tr w:rsidR="000E59C0" w:rsidRPr="00F94F2C" w14:paraId="317171D8"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D2805A6" w14:textId="77777777" w:rsidR="00F94F2C" w:rsidRDefault="00F8769A"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536D6215"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2658A2FC" w14:textId="1BEB0F65" w:rsidR="00122F79" w:rsidRPr="00F94F2C" w:rsidRDefault="00F8769A" w:rsidP="00BA0F37">
            <w:pPr>
              <w:rPr>
                <w:rFonts w:ascii="Arial" w:hAnsi="Arial" w:cs="Arial"/>
              </w:rPr>
            </w:pPr>
            <w:r>
              <w:rPr>
                <w:rFonts w:ascii="Arial" w:hAnsi="Arial" w:cs="Arial"/>
              </w:rPr>
              <w:t>14 September 2023</w:t>
            </w:r>
          </w:p>
        </w:tc>
      </w:tr>
      <w:tr w:rsidR="000E59C0" w:rsidRPr="00F94F2C" w14:paraId="20615A38"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8292C34" w14:textId="77777777" w:rsidR="00F94F2C" w:rsidRDefault="00F8769A"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0E91C4B3"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0933B988" w14:textId="4C47322E" w:rsidR="00122F79" w:rsidRPr="00F94F2C" w:rsidRDefault="00F8769A" w:rsidP="00BA0F37">
            <w:pPr>
              <w:rPr>
                <w:rFonts w:ascii="Arial" w:hAnsi="Arial" w:cs="Arial"/>
              </w:rPr>
            </w:pPr>
            <w:r>
              <w:rPr>
                <w:rFonts w:ascii="Arial" w:hAnsi="Arial" w:cs="Arial"/>
              </w:rPr>
              <w:t>September 2025</w:t>
            </w:r>
          </w:p>
        </w:tc>
      </w:tr>
      <w:tr w:rsidR="000E59C0" w:rsidRPr="00F94F2C" w14:paraId="36B2F4A6"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51CED894" w14:textId="77777777" w:rsidR="00F94F2C" w:rsidRDefault="00F8769A"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0757957D"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460E8938" w14:textId="77777777" w:rsidR="00122F79" w:rsidRPr="00F94F2C" w:rsidRDefault="0067674F" w:rsidP="00BA0F37">
            <w:pPr>
              <w:rPr>
                <w:rFonts w:ascii="Arial" w:hAnsi="Arial" w:cs="Arial"/>
              </w:rPr>
            </w:pPr>
            <w:r>
              <w:rPr>
                <w:rFonts w:ascii="Arial" w:hAnsi="Arial" w:cs="Arial"/>
              </w:rPr>
              <w:t>4133906</w:t>
            </w:r>
          </w:p>
        </w:tc>
      </w:tr>
    </w:tbl>
    <w:p w14:paraId="0A604CD7" w14:textId="77777777" w:rsidR="00721265" w:rsidRPr="008816A0" w:rsidRDefault="00721265" w:rsidP="00F94F2C"/>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BAE83" w14:textId="77777777" w:rsidR="00124F6A" w:rsidRDefault="00124F6A">
      <w:r>
        <w:separator/>
      </w:r>
    </w:p>
  </w:endnote>
  <w:endnote w:type="continuationSeparator" w:id="0">
    <w:p w14:paraId="720A845A" w14:textId="77777777" w:rsidR="00124F6A" w:rsidRDefault="0012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32409F96"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7E252D">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ED664" w14:textId="77777777" w:rsidR="00124F6A" w:rsidRDefault="00124F6A">
      <w:r>
        <w:separator/>
      </w:r>
    </w:p>
  </w:footnote>
  <w:footnote w:type="continuationSeparator" w:id="0">
    <w:p w14:paraId="1129B6AC" w14:textId="77777777" w:rsidR="00124F6A" w:rsidRDefault="00124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2349EE38" w14:textId="77777777" w:rsidTr="00623C8C">
      <w:trPr>
        <w:trHeight w:val="340"/>
        <w:tblCellSpacing w:w="20" w:type="dxa"/>
      </w:trPr>
      <w:tc>
        <w:tcPr>
          <w:tcW w:w="2088" w:type="dxa"/>
          <w:shd w:val="clear" w:color="auto" w:fill="auto"/>
          <w:vAlign w:val="center"/>
        </w:tcPr>
        <w:p w14:paraId="2C7E92C8"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0ED1D7A1" w14:textId="77777777" w:rsidR="00623C8C" w:rsidRPr="00F94F2C" w:rsidRDefault="009A0A01" w:rsidP="00906DB4">
          <w:pPr>
            <w:pStyle w:val="Header"/>
            <w:rPr>
              <w:rFonts w:ascii="Arial Bold" w:hAnsi="Arial Bold" w:cs="Arial"/>
              <w:b/>
              <w:caps/>
            </w:rPr>
          </w:pPr>
          <w:r w:rsidRPr="00F94F2C">
            <w:rPr>
              <w:rFonts w:ascii="Arial Bold" w:hAnsi="Arial Bold" w:cs="Arial"/>
              <w:b/>
              <w:caps/>
              <w:noProof/>
            </w:rPr>
            <w:drawing>
              <wp:anchor distT="0" distB="0" distL="114300" distR="114300" simplePos="0" relativeHeight="251657216" behindDoc="0" locked="0" layoutInCell="1" allowOverlap="1" wp14:anchorId="72DC7821" wp14:editId="0EF9749D">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94E6D">
            <w:rPr>
              <w:rFonts w:ascii="Arial Bold" w:hAnsi="Arial Bold" w:cs="Arial"/>
              <w:b/>
            </w:rPr>
            <w:t xml:space="preserve">Community Engagement </w:t>
          </w:r>
        </w:p>
      </w:tc>
    </w:tr>
  </w:tbl>
  <w:p w14:paraId="2334B65A"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0159F"/>
    <w:multiLevelType w:val="hybridMultilevel"/>
    <w:tmpl w:val="3FEE23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720EDD"/>
    <w:multiLevelType w:val="hybridMultilevel"/>
    <w:tmpl w:val="D2D2822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1C13A9"/>
    <w:multiLevelType w:val="hybridMultilevel"/>
    <w:tmpl w:val="BB10F1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990BB2"/>
    <w:multiLevelType w:val="hybridMultilevel"/>
    <w:tmpl w:val="9E06CC1C"/>
    <w:lvl w:ilvl="0" w:tplc="FABCAA4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948645A"/>
    <w:multiLevelType w:val="hybridMultilevel"/>
    <w:tmpl w:val="B8EE2404"/>
    <w:lvl w:ilvl="0" w:tplc="FABCAA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7508DB"/>
    <w:multiLevelType w:val="hybridMultilevel"/>
    <w:tmpl w:val="DE027D10"/>
    <w:lvl w:ilvl="0" w:tplc="584E12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2EA6D16"/>
    <w:multiLevelType w:val="multilevel"/>
    <w:tmpl w:val="445257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9323EF"/>
    <w:multiLevelType w:val="hybridMultilevel"/>
    <w:tmpl w:val="9CD62A7E"/>
    <w:lvl w:ilvl="0" w:tplc="584E12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3"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7156836"/>
    <w:multiLevelType w:val="hybridMultilevel"/>
    <w:tmpl w:val="473EA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5B385E"/>
    <w:multiLevelType w:val="hybridMultilevel"/>
    <w:tmpl w:val="5656A82E"/>
    <w:lvl w:ilvl="0" w:tplc="584E122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BD6030B"/>
    <w:multiLevelType w:val="hybridMultilevel"/>
    <w:tmpl w:val="F9C0DC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52533689">
    <w:abstractNumId w:val="12"/>
  </w:num>
  <w:num w:numId="2" w16cid:durableId="108356035">
    <w:abstractNumId w:val="6"/>
  </w:num>
  <w:num w:numId="3" w16cid:durableId="984046033">
    <w:abstractNumId w:val="5"/>
  </w:num>
  <w:num w:numId="4" w16cid:durableId="1639870685">
    <w:abstractNumId w:val="13"/>
  </w:num>
  <w:num w:numId="5" w16cid:durableId="1019700870">
    <w:abstractNumId w:val="9"/>
  </w:num>
  <w:num w:numId="6" w16cid:durableId="1931231430">
    <w:abstractNumId w:val="14"/>
  </w:num>
  <w:num w:numId="7" w16cid:durableId="2023386890">
    <w:abstractNumId w:val="17"/>
  </w:num>
  <w:num w:numId="8" w16cid:durableId="1069571792">
    <w:abstractNumId w:val="0"/>
  </w:num>
  <w:num w:numId="9" w16cid:durableId="1567063438">
    <w:abstractNumId w:val="15"/>
  </w:num>
  <w:num w:numId="10" w16cid:durableId="791747871">
    <w:abstractNumId w:val="8"/>
  </w:num>
  <w:num w:numId="11" w16cid:durableId="1031302647">
    <w:abstractNumId w:val="7"/>
  </w:num>
  <w:num w:numId="12" w16cid:durableId="77334393">
    <w:abstractNumId w:val="16"/>
  </w:num>
  <w:num w:numId="13" w16cid:durableId="704864699">
    <w:abstractNumId w:val="4"/>
  </w:num>
  <w:num w:numId="14" w16cid:durableId="1627082638">
    <w:abstractNumId w:val="2"/>
  </w:num>
  <w:num w:numId="15" w16cid:durableId="456685174">
    <w:abstractNumId w:val="1"/>
  </w:num>
  <w:num w:numId="16" w16cid:durableId="778453151">
    <w:abstractNumId w:val="3"/>
  </w:num>
  <w:num w:numId="17" w16cid:durableId="2055695919">
    <w:abstractNumId w:val="11"/>
  </w:num>
  <w:num w:numId="18" w16cid:durableId="688680289">
    <w:abstractNumId w:val="18"/>
  </w:num>
  <w:num w:numId="19" w16cid:durableId="3969003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F6A"/>
    <w:rsid w:val="00017BC9"/>
    <w:rsid w:val="00023FB9"/>
    <w:rsid w:val="00025628"/>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D7CF2"/>
    <w:rsid w:val="000E1BF6"/>
    <w:rsid w:val="000E2527"/>
    <w:rsid w:val="000E59C0"/>
    <w:rsid w:val="000F29F7"/>
    <w:rsid w:val="000F5278"/>
    <w:rsid w:val="00103203"/>
    <w:rsid w:val="00116A63"/>
    <w:rsid w:val="00122F79"/>
    <w:rsid w:val="00123731"/>
    <w:rsid w:val="00124F6A"/>
    <w:rsid w:val="00133F68"/>
    <w:rsid w:val="00140FC9"/>
    <w:rsid w:val="00151611"/>
    <w:rsid w:val="0016013C"/>
    <w:rsid w:val="0016654E"/>
    <w:rsid w:val="00166692"/>
    <w:rsid w:val="00167FA1"/>
    <w:rsid w:val="00170EF8"/>
    <w:rsid w:val="001857FE"/>
    <w:rsid w:val="00186387"/>
    <w:rsid w:val="001930F4"/>
    <w:rsid w:val="00195107"/>
    <w:rsid w:val="00197E02"/>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16E2D"/>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C66AC"/>
    <w:rsid w:val="005D0885"/>
    <w:rsid w:val="005D5E98"/>
    <w:rsid w:val="005E4CCF"/>
    <w:rsid w:val="005E6063"/>
    <w:rsid w:val="005E7982"/>
    <w:rsid w:val="00606E6A"/>
    <w:rsid w:val="0061091B"/>
    <w:rsid w:val="00613067"/>
    <w:rsid w:val="00620D57"/>
    <w:rsid w:val="006222BD"/>
    <w:rsid w:val="00622B74"/>
    <w:rsid w:val="00623C8C"/>
    <w:rsid w:val="00631B7A"/>
    <w:rsid w:val="00650938"/>
    <w:rsid w:val="00651F5C"/>
    <w:rsid w:val="00652E76"/>
    <w:rsid w:val="00653F1D"/>
    <w:rsid w:val="00656C9D"/>
    <w:rsid w:val="00656D08"/>
    <w:rsid w:val="00671A66"/>
    <w:rsid w:val="00676101"/>
    <w:rsid w:val="0067674F"/>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A446A"/>
    <w:rsid w:val="007B053D"/>
    <w:rsid w:val="007B2051"/>
    <w:rsid w:val="007B6760"/>
    <w:rsid w:val="007C2854"/>
    <w:rsid w:val="007C3826"/>
    <w:rsid w:val="007C3CA6"/>
    <w:rsid w:val="007C6378"/>
    <w:rsid w:val="007E252D"/>
    <w:rsid w:val="007E5C21"/>
    <w:rsid w:val="007E7468"/>
    <w:rsid w:val="007E760F"/>
    <w:rsid w:val="007F70E8"/>
    <w:rsid w:val="00801368"/>
    <w:rsid w:val="00803D54"/>
    <w:rsid w:val="00805D3D"/>
    <w:rsid w:val="008119A4"/>
    <w:rsid w:val="008179D8"/>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06DB4"/>
    <w:rsid w:val="00910CB5"/>
    <w:rsid w:val="00911AA3"/>
    <w:rsid w:val="009123B9"/>
    <w:rsid w:val="0093222B"/>
    <w:rsid w:val="00934339"/>
    <w:rsid w:val="009412D2"/>
    <w:rsid w:val="00943C72"/>
    <w:rsid w:val="00945C6F"/>
    <w:rsid w:val="00974D13"/>
    <w:rsid w:val="00975604"/>
    <w:rsid w:val="00976124"/>
    <w:rsid w:val="00981F38"/>
    <w:rsid w:val="009A0A01"/>
    <w:rsid w:val="009A0FB1"/>
    <w:rsid w:val="009B3F72"/>
    <w:rsid w:val="009B541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3E22"/>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3333"/>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94E6D"/>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8769A"/>
    <w:rsid w:val="00F94F2C"/>
    <w:rsid w:val="00F95225"/>
    <w:rsid w:val="00FB0D12"/>
    <w:rsid w:val="00FB327A"/>
    <w:rsid w:val="00FC29CE"/>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322F9B5"/>
  <w15:docId w15:val="{2CB47970-E797-48B3-94DA-402F7E31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1"/>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styleId="BodyText">
    <w:name w:val="Body Text"/>
    <w:basedOn w:val="Normal"/>
    <w:link w:val="BodyTextChar"/>
    <w:uiPriority w:val="1"/>
    <w:qFormat/>
    <w:rsid w:val="00416E2D"/>
    <w:pPr>
      <w:widowControl w:val="0"/>
      <w:autoSpaceDE w:val="0"/>
      <w:autoSpaceDN w:val="0"/>
    </w:pPr>
    <w:rPr>
      <w:rFonts w:ascii="Arial" w:eastAsia="Arial" w:hAnsi="Arial" w:cs="Arial"/>
      <w:lang w:eastAsia="en-US"/>
    </w:rPr>
  </w:style>
  <w:style w:type="character" w:customStyle="1" w:styleId="BodyTextChar">
    <w:name w:val="Body Text Char"/>
    <w:basedOn w:val="DefaultParagraphFont"/>
    <w:link w:val="BodyText"/>
    <w:uiPriority w:val="1"/>
    <w:rsid w:val="00416E2D"/>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arbon\AppData\Local\Microsoft\Windows\Temporary%20Internet%20Files\Content.IE5\8Z7TGYQZ\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7F833-3BEF-4A05-82C7-F9E6E0A38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31</TotalTime>
  <Pages>3</Pages>
  <Words>923</Words>
  <Characters>5475</Characters>
  <Application>Microsoft Office Word</Application>
  <DocSecurity>0</DocSecurity>
  <Lines>176</Lines>
  <Paragraphs>88</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6310</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Deanie Carbon</dc:creator>
  <cp:lastModifiedBy>Bernadette Pinto</cp:lastModifiedBy>
  <cp:revision>14</cp:revision>
  <cp:lastPrinted>2023-12-21T08:16:00Z</cp:lastPrinted>
  <dcterms:created xsi:type="dcterms:W3CDTF">2019-01-08T03:42:00Z</dcterms:created>
  <dcterms:modified xsi:type="dcterms:W3CDTF">2023-12-21T08:16:00Z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